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635CD" w14:textId="2A419F37" w:rsidR="001A7CD8" w:rsidRPr="00CE248E" w:rsidRDefault="001A7CD8" w:rsidP="001A7CD8">
      <w:pPr>
        <w:pStyle w:val="3GPPHeader"/>
        <w:spacing w:after="60"/>
        <w:rPr>
          <w:sz w:val="36"/>
          <w:szCs w:val="32"/>
          <w:lang w:val="en-US"/>
        </w:rPr>
      </w:pPr>
      <w:r w:rsidRPr="007C6CC7">
        <w:rPr>
          <w:lang w:val="en-US"/>
        </w:rPr>
        <w:t>3GPP TSG-RAN WG2 #101</w:t>
      </w:r>
      <w:r w:rsidRPr="007C6CC7">
        <w:rPr>
          <w:sz w:val="28"/>
          <w:lang w:val="en-US"/>
        </w:rPr>
        <w:tab/>
      </w:r>
      <w:bookmarkStart w:id="0" w:name="_GoBack"/>
      <w:r w:rsidR="000E6389" w:rsidRPr="000E6389">
        <w:rPr>
          <w:sz w:val="28"/>
          <w:lang w:val="en-US"/>
        </w:rPr>
        <w:t>R2-1802779</w:t>
      </w:r>
      <w:r w:rsidR="000E6389">
        <w:rPr>
          <w:sz w:val="28"/>
          <w:lang w:val="en-US"/>
        </w:rPr>
        <w:t xml:space="preserve"> </w:t>
      </w:r>
      <w:bookmarkEnd w:id="0"/>
    </w:p>
    <w:p w14:paraId="016873C6" w14:textId="48B0C490" w:rsidR="00E90E49" w:rsidRDefault="001A7CD8" w:rsidP="001A7CD8">
      <w:pPr>
        <w:pStyle w:val="3GPPHeader"/>
        <w:rPr>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p>
    <w:p w14:paraId="40719351" w14:textId="77777777" w:rsidR="001A7CD8" w:rsidRPr="00CE0424" w:rsidRDefault="001A7CD8" w:rsidP="001A7CD8">
      <w:pPr>
        <w:pStyle w:val="3GPPHeader"/>
      </w:pPr>
    </w:p>
    <w:p w14:paraId="1F2E26B6" w14:textId="382C71A6" w:rsidR="00E90E49" w:rsidRPr="00E876AD" w:rsidRDefault="00E90E49" w:rsidP="00311702">
      <w:pPr>
        <w:pStyle w:val="3GPPHeader"/>
        <w:rPr>
          <w:sz w:val="20"/>
          <w:szCs w:val="22"/>
          <w:lang w:val="en-US"/>
        </w:rPr>
      </w:pPr>
      <w:r w:rsidRPr="00673D4A">
        <w:rPr>
          <w:sz w:val="22"/>
          <w:szCs w:val="22"/>
          <w:lang w:val="en-US"/>
        </w:rPr>
        <w:t xml:space="preserve">Agenda </w:t>
      </w:r>
      <w:r w:rsidR="002139C5" w:rsidRPr="00673D4A">
        <w:rPr>
          <w:sz w:val="22"/>
          <w:szCs w:val="22"/>
          <w:lang w:val="en-US"/>
        </w:rPr>
        <w:t xml:space="preserve">Item: </w:t>
      </w:r>
      <w:r w:rsidR="002139C5" w:rsidRPr="00673D4A">
        <w:rPr>
          <w:sz w:val="22"/>
          <w:szCs w:val="22"/>
          <w:lang w:val="en-US"/>
        </w:rPr>
        <w:tab/>
      </w:r>
      <w:r w:rsidR="00E876AD" w:rsidRPr="00E876AD">
        <w:rPr>
          <w:sz w:val="22"/>
          <w:szCs w:val="22"/>
          <w:lang w:val="en-US"/>
        </w:rPr>
        <w:t>10.4.3.2 ASN.1 issue documents</w:t>
      </w:r>
    </w:p>
    <w:p w14:paraId="488FCBE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8F62E2" w14:textId="0B590160" w:rsidR="00D84BC8" w:rsidRPr="00BC2312" w:rsidRDefault="003D3C45" w:rsidP="00D84BC8">
      <w:pPr>
        <w:pStyle w:val="3GPPHeader"/>
        <w:rPr>
          <w:rFonts w:cs="Arial"/>
          <w:sz w:val="22"/>
          <w:lang w:val="en-US"/>
        </w:rPr>
      </w:pPr>
      <w:r>
        <w:rPr>
          <w:sz w:val="22"/>
          <w:szCs w:val="22"/>
        </w:rPr>
        <w:t>Title:</w:t>
      </w:r>
      <w:r w:rsidR="00E90E49" w:rsidRPr="00CE0424">
        <w:rPr>
          <w:sz w:val="22"/>
          <w:szCs w:val="22"/>
        </w:rPr>
        <w:tab/>
      </w:r>
      <w:bookmarkStart w:id="1" w:name="_Hlk503397397"/>
      <w:r w:rsidR="000E6389" w:rsidRPr="000E6389">
        <w:rPr>
          <w:sz w:val="22"/>
          <w:szCs w:val="22"/>
        </w:rPr>
        <w:t>On RLM and beam failure monitoring resources</w:t>
      </w:r>
      <w:r w:rsidR="009E07AA">
        <w:rPr>
          <w:sz w:val="22"/>
          <w:szCs w:val="22"/>
        </w:rPr>
        <w:t xml:space="preserve"> (E396)</w:t>
      </w:r>
    </w:p>
    <w:bookmarkEnd w:id="1"/>
    <w:p w14:paraId="4AD14C2C" w14:textId="77777777" w:rsidR="00D84BC8" w:rsidRPr="00573E9E" w:rsidRDefault="00E90E49" w:rsidP="00D84BC8">
      <w:pPr>
        <w:pStyle w:val="3GPPHeader"/>
        <w:rPr>
          <w:rFonts w:cs="Arial"/>
          <w:sz w:val="22"/>
        </w:rPr>
      </w:pPr>
      <w:r w:rsidRPr="00CE0424">
        <w:rPr>
          <w:sz w:val="22"/>
          <w:szCs w:val="22"/>
        </w:rPr>
        <w:t>Document for:</w:t>
      </w:r>
      <w:r w:rsidRPr="00CE0424">
        <w:rPr>
          <w:sz w:val="22"/>
          <w:szCs w:val="22"/>
        </w:rPr>
        <w:tab/>
      </w:r>
      <w:r w:rsidR="00D84BC8" w:rsidRPr="00397540">
        <w:rPr>
          <w:rFonts w:cs="Arial"/>
          <w:sz w:val="22"/>
        </w:rPr>
        <w:t>Discussion, Decision</w:t>
      </w:r>
    </w:p>
    <w:p w14:paraId="5A64062E" w14:textId="77777777" w:rsidR="00D84BC8" w:rsidRPr="00573E9E" w:rsidRDefault="00D84BC8" w:rsidP="00D84BC8">
      <w:pPr>
        <w:pStyle w:val="Heading1"/>
        <w:rPr>
          <w:lang w:val="en-US"/>
        </w:rPr>
      </w:pPr>
      <w:bookmarkStart w:id="2" w:name="_Ref462817227"/>
      <w:r w:rsidRPr="00573E9E">
        <w:rPr>
          <w:lang w:val="en-US"/>
        </w:rPr>
        <w:t>Introduction</w:t>
      </w:r>
      <w:bookmarkEnd w:id="2"/>
    </w:p>
    <w:p w14:paraId="4F5EDE7F" w14:textId="4BCBD872" w:rsidR="00E176FD" w:rsidRDefault="00716D7C" w:rsidP="009D65BC">
      <w:pPr>
        <w:tabs>
          <w:tab w:val="left" w:pos="1622"/>
        </w:tabs>
        <w:spacing w:after="0"/>
        <w:rPr>
          <w:rFonts w:eastAsia="MS Mincho" w:cs="Arial"/>
          <w:szCs w:val="24"/>
          <w:lang w:val="en-US" w:eastAsia="en-GB"/>
        </w:rPr>
      </w:pPr>
      <w:r>
        <w:rPr>
          <w:rFonts w:eastAsia="MS Mincho" w:cs="Arial"/>
          <w:szCs w:val="24"/>
          <w:lang w:val="en-US" w:eastAsia="en-GB"/>
        </w:rPr>
        <w:t xml:space="preserve">In </w:t>
      </w:r>
      <w:r w:rsidR="00C362E3">
        <w:rPr>
          <w:rFonts w:eastAsia="MS Mincho" w:cs="Arial"/>
          <w:szCs w:val="24"/>
          <w:lang w:val="en-US" w:eastAsia="en-GB"/>
        </w:rPr>
        <w:t xml:space="preserve">RAN2#AdHoc 2018-1 there has been some progress </w:t>
      </w:r>
      <w:r w:rsidR="00E176FD">
        <w:rPr>
          <w:rFonts w:eastAsia="MS Mincho" w:cs="Arial"/>
          <w:szCs w:val="24"/>
          <w:lang w:val="en-US" w:eastAsia="en-GB"/>
        </w:rPr>
        <w:t xml:space="preserve">on </w:t>
      </w:r>
      <w:r w:rsidR="00EA5826">
        <w:rPr>
          <w:rFonts w:eastAsia="MS Mincho" w:cs="Arial"/>
          <w:szCs w:val="24"/>
          <w:lang w:val="en-US" w:eastAsia="en-GB"/>
        </w:rPr>
        <w:t>beam recovery</w:t>
      </w:r>
      <w:r w:rsidR="00E176FD">
        <w:rPr>
          <w:rFonts w:eastAsia="MS Mincho" w:cs="Arial"/>
          <w:szCs w:val="24"/>
          <w:lang w:val="en-US" w:eastAsia="en-GB"/>
        </w:rPr>
        <w:t xml:space="preserve"> configuration</w:t>
      </w:r>
      <w:r w:rsidR="00EA5826">
        <w:rPr>
          <w:rFonts w:eastAsia="MS Mincho" w:cs="Arial"/>
          <w:szCs w:val="24"/>
          <w:lang w:val="en-US" w:eastAsia="en-GB"/>
        </w:rPr>
        <w:t xml:space="preserve">, </w:t>
      </w:r>
      <w:r w:rsidR="00E176FD">
        <w:rPr>
          <w:rFonts w:eastAsia="MS Mincho" w:cs="Arial"/>
          <w:szCs w:val="24"/>
          <w:lang w:val="en-US" w:eastAsia="en-GB"/>
        </w:rPr>
        <w:t xml:space="preserve">mainly to the </w:t>
      </w:r>
      <w:r w:rsidR="00EA5826">
        <w:rPr>
          <w:rFonts w:eastAsia="MS Mincho" w:cs="Arial"/>
          <w:szCs w:val="24"/>
          <w:lang w:val="en-US" w:eastAsia="en-GB"/>
        </w:rPr>
        <w:t>ASN.1</w:t>
      </w:r>
      <w:r w:rsidR="00E176FD">
        <w:rPr>
          <w:rFonts w:eastAsia="MS Mincho" w:cs="Arial"/>
          <w:szCs w:val="24"/>
          <w:lang w:val="en-US" w:eastAsia="en-GB"/>
        </w:rPr>
        <w:t xml:space="preserve"> of the IE called </w:t>
      </w:r>
      <w:r w:rsidR="00E176FD" w:rsidRPr="00E176FD">
        <w:rPr>
          <w:rFonts w:eastAsia="MS Mincho" w:cs="Arial"/>
          <w:i/>
          <w:szCs w:val="24"/>
          <w:lang w:val="en-US" w:eastAsia="en-GB"/>
        </w:rPr>
        <w:t>BeamFailureDetectionConfig</w:t>
      </w:r>
      <w:r w:rsidR="00E176FD">
        <w:rPr>
          <w:rFonts w:eastAsia="MS Mincho" w:cs="Arial"/>
          <w:szCs w:val="24"/>
          <w:lang w:val="en-US" w:eastAsia="en-GB"/>
        </w:rPr>
        <w:t xml:space="preserve">. </w:t>
      </w:r>
      <w:r w:rsidR="00EA5826">
        <w:rPr>
          <w:rFonts w:eastAsia="MS Mincho" w:cs="Arial"/>
          <w:szCs w:val="24"/>
          <w:lang w:val="en-US" w:eastAsia="en-GB"/>
        </w:rPr>
        <w:t xml:space="preserve">At the same time, we have not been </w:t>
      </w:r>
      <w:r w:rsidR="00E176FD">
        <w:rPr>
          <w:rFonts w:eastAsia="MS Mincho" w:cs="Arial"/>
          <w:szCs w:val="24"/>
          <w:lang w:val="en-US" w:eastAsia="en-GB"/>
        </w:rPr>
        <w:t xml:space="preserve">able </w:t>
      </w:r>
      <w:r w:rsidR="00EA5826">
        <w:rPr>
          <w:rFonts w:eastAsia="MS Mincho" w:cs="Arial"/>
          <w:szCs w:val="24"/>
          <w:lang w:val="en-US" w:eastAsia="en-GB"/>
        </w:rPr>
        <w:t xml:space="preserve">to implement yet the RLM </w:t>
      </w:r>
      <w:r w:rsidR="00E176FD">
        <w:rPr>
          <w:rFonts w:eastAsia="MS Mincho" w:cs="Arial"/>
          <w:szCs w:val="24"/>
          <w:lang w:val="en-US" w:eastAsia="en-GB"/>
        </w:rPr>
        <w:t xml:space="preserve">configuration </w:t>
      </w:r>
      <w:r w:rsidR="00EA5826">
        <w:rPr>
          <w:rFonts w:eastAsia="MS Mincho" w:cs="Arial"/>
          <w:szCs w:val="24"/>
          <w:lang w:val="en-US" w:eastAsia="en-GB"/>
        </w:rPr>
        <w:t xml:space="preserve">parameters since </w:t>
      </w:r>
      <w:r w:rsidR="009D65BC">
        <w:rPr>
          <w:rFonts w:eastAsia="MS Mincho" w:cs="Arial"/>
          <w:szCs w:val="24"/>
          <w:lang w:val="en-US" w:eastAsia="en-GB"/>
        </w:rPr>
        <w:t xml:space="preserve">there </w:t>
      </w:r>
      <w:r w:rsidR="00E176FD">
        <w:rPr>
          <w:rFonts w:eastAsia="MS Mincho" w:cs="Arial"/>
          <w:szCs w:val="24"/>
          <w:lang w:val="en-US" w:eastAsia="en-GB"/>
        </w:rPr>
        <w:t xml:space="preserve">is at least one open </w:t>
      </w:r>
      <w:r w:rsidR="009D65BC">
        <w:rPr>
          <w:rFonts w:eastAsia="MS Mincho" w:cs="Arial"/>
          <w:szCs w:val="24"/>
          <w:lang w:val="en-US" w:eastAsia="en-GB"/>
        </w:rPr>
        <w:t>issue</w:t>
      </w:r>
      <w:r w:rsidR="00E176FD">
        <w:rPr>
          <w:rFonts w:eastAsia="MS Mincho" w:cs="Arial"/>
          <w:szCs w:val="24"/>
          <w:lang w:val="en-US" w:eastAsia="en-GB"/>
        </w:rPr>
        <w:t xml:space="preserve"> that needs to be resolved and/or clarified with RAN1</w:t>
      </w:r>
      <w:r w:rsidR="000E6389">
        <w:rPr>
          <w:rFonts w:eastAsia="MS Mincho" w:cs="Arial"/>
          <w:szCs w:val="24"/>
          <w:lang w:val="en-US" w:eastAsia="en-GB"/>
        </w:rPr>
        <w:t xml:space="preserve">: </w:t>
      </w:r>
      <w:r w:rsidR="009D65BC">
        <w:rPr>
          <w:rFonts w:eastAsia="MS Mincho" w:cs="Arial"/>
          <w:szCs w:val="24"/>
          <w:lang w:val="en-US" w:eastAsia="en-GB"/>
        </w:rPr>
        <w:t xml:space="preserve">whether </w:t>
      </w:r>
      <w:r w:rsidR="009D65BC" w:rsidRPr="009D65BC">
        <w:rPr>
          <w:rFonts w:eastAsia="MS Mincho" w:cs="Arial"/>
          <w:szCs w:val="24"/>
          <w:lang w:val="en-US" w:eastAsia="en-GB"/>
        </w:rPr>
        <w:t xml:space="preserve">beam monitoring resources </w:t>
      </w:r>
      <w:r w:rsidR="00E176FD">
        <w:rPr>
          <w:rFonts w:eastAsia="MS Mincho" w:cs="Arial"/>
          <w:szCs w:val="24"/>
          <w:lang w:val="en-US" w:eastAsia="en-GB"/>
        </w:rPr>
        <w:t xml:space="preserve">for failure detection, configured in </w:t>
      </w:r>
      <w:r w:rsidR="00E176FD" w:rsidRPr="00E176FD">
        <w:rPr>
          <w:rFonts w:eastAsia="MS Mincho" w:cs="Arial"/>
          <w:i/>
          <w:szCs w:val="24"/>
          <w:lang w:val="en-US" w:eastAsia="en-GB"/>
        </w:rPr>
        <w:t>BeamFailureDetectionConfig</w:t>
      </w:r>
      <w:r w:rsidR="00E176FD">
        <w:rPr>
          <w:rFonts w:eastAsia="MS Mincho" w:cs="Arial"/>
          <w:i/>
          <w:szCs w:val="24"/>
          <w:lang w:val="en-US" w:eastAsia="en-GB"/>
        </w:rPr>
        <w:t>,</w:t>
      </w:r>
      <w:r w:rsidR="00E176FD">
        <w:rPr>
          <w:rFonts w:eastAsia="MS Mincho" w:cs="Arial"/>
          <w:szCs w:val="24"/>
          <w:lang w:val="en-US" w:eastAsia="en-GB"/>
        </w:rPr>
        <w:t xml:space="preserve"> </w:t>
      </w:r>
      <w:r w:rsidR="009D65BC">
        <w:rPr>
          <w:rFonts w:eastAsia="MS Mincho" w:cs="Arial"/>
          <w:szCs w:val="24"/>
          <w:lang w:val="en-US" w:eastAsia="en-GB"/>
        </w:rPr>
        <w:t>are</w:t>
      </w:r>
      <w:r w:rsidR="00E176FD">
        <w:rPr>
          <w:rFonts w:eastAsia="MS Mincho" w:cs="Arial"/>
          <w:szCs w:val="24"/>
          <w:lang w:val="en-US" w:eastAsia="en-GB"/>
        </w:rPr>
        <w:t>:</w:t>
      </w:r>
    </w:p>
    <w:p w14:paraId="40AC3ED3" w14:textId="09087C71" w:rsidR="00E176FD" w:rsidRDefault="00E176FD" w:rsidP="00317F83">
      <w:pPr>
        <w:pStyle w:val="ListParagraph"/>
        <w:numPr>
          <w:ilvl w:val="0"/>
          <w:numId w:val="12"/>
        </w:numPr>
        <w:tabs>
          <w:tab w:val="left" w:pos="1622"/>
        </w:tabs>
        <w:spacing w:after="0"/>
        <w:rPr>
          <w:rFonts w:eastAsia="MS Mincho" w:cs="Arial"/>
          <w:szCs w:val="24"/>
          <w:lang w:val="en-US" w:eastAsia="en-GB"/>
        </w:rPr>
      </w:pPr>
      <w:r w:rsidRPr="00E176FD">
        <w:rPr>
          <w:rFonts w:eastAsia="MS Mincho" w:cs="Arial"/>
          <w:szCs w:val="24"/>
          <w:lang w:val="en-US" w:eastAsia="en-GB"/>
        </w:rPr>
        <w:t xml:space="preserve">a/ </w:t>
      </w:r>
      <w:r w:rsidR="009D65BC" w:rsidRPr="00E176FD">
        <w:rPr>
          <w:rFonts w:eastAsia="MS Mincho" w:cs="Arial"/>
          <w:szCs w:val="24"/>
          <w:lang w:val="en-US" w:eastAsia="en-GB"/>
        </w:rPr>
        <w:t>the same as the RLM-RS resources</w:t>
      </w:r>
      <w:r>
        <w:rPr>
          <w:rFonts w:eastAsia="MS Mincho" w:cs="Arial"/>
          <w:szCs w:val="24"/>
          <w:lang w:val="en-US" w:eastAsia="en-GB"/>
        </w:rPr>
        <w:t>;</w:t>
      </w:r>
    </w:p>
    <w:p w14:paraId="576BCA44" w14:textId="77777777" w:rsidR="00E176FD" w:rsidRDefault="009D65BC" w:rsidP="00317F83">
      <w:pPr>
        <w:pStyle w:val="ListParagraph"/>
        <w:numPr>
          <w:ilvl w:val="0"/>
          <w:numId w:val="12"/>
        </w:numPr>
        <w:tabs>
          <w:tab w:val="left" w:pos="1622"/>
        </w:tabs>
        <w:spacing w:after="0"/>
        <w:rPr>
          <w:rFonts w:eastAsia="MS Mincho" w:cs="Arial"/>
          <w:szCs w:val="24"/>
          <w:lang w:val="en-US" w:eastAsia="en-GB"/>
        </w:rPr>
      </w:pPr>
      <w:r w:rsidRPr="00E176FD">
        <w:rPr>
          <w:rFonts w:eastAsia="MS Mincho" w:cs="Arial"/>
          <w:szCs w:val="24"/>
          <w:lang w:val="en-US" w:eastAsia="en-GB"/>
        </w:rPr>
        <w:t>b/ a subset of the RLM-RS resources or</w:t>
      </w:r>
      <w:r w:rsidR="00E176FD">
        <w:rPr>
          <w:rFonts w:eastAsia="MS Mincho" w:cs="Arial"/>
          <w:szCs w:val="24"/>
          <w:lang w:val="en-US" w:eastAsia="en-GB"/>
        </w:rPr>
        <w:t>;</w:t>
      </w:r>
    </w:p>
    <w:p w14:paraId="46A8ADA3" w14:textId="77F1DAAA" w:rsidR="009D65BC" w:rsidRPr="00E176FD" w:rsidRDefault="009D65BC" w:rsidP="00317F83">
      <w:pPr>
        <w:pStyle w:val="ListParagraph"/>
        <w:numPr>
          <w:ilvl w:val="0"/>
          <w:numId w:val="12"/>
        </w:numPr>
        <w:tabs>
          <w:tab w:val="left" w:pos="1622"/>
        </w:tabs>
        <w:spacing w:after="0"/>
        <w:rPr>
          <w:rFonts w:eastAsia="MS Mincho" w:cs="Arial"/>
          <w:szCs w:val="24"/>
          <w:lang w:val="en-US" w:eastAsia="en-GB"/>
        </w:rPr>
      </w:pPr>
      <w:r w:rsidRPr="00E176FD">
        <w:rPr>
          <w:rFonts w:eastAsia="MS Mincho" w:cs="Arial"/>
          <w:szCs w:val="24"/>
          <w:lang w:val="en-US" w:eastAsia="en-GB"/>
        </w:rPr>
        <w:t>c/ a completely orthogonal set of resources.</w:t>
      </w:r>
    </w:p>
    <w:p w14:paraId="5E1DEC76" w14:textId="6F911004" w:rsidR="009D65BC" w:rsidRDefault="009D65BC" w:rsidP="009D65BC">
      <w:pPr>
        <w:tabs>
          <w:tab w:val="left" w:pos="1622"/>
        </w:tabs>
        <w:spacing w:after="0"/>
        <w:rPr>
          <w:rFonts w:eastAsia="MS Mincho" w:cs="Arial"/>
          <w:szCs w:val="24"/>
          <w:lang w:val="en-US" w:eastAsia="en-GB"/>
        </w:rPr>
      </w:pPr>
    </w:p>
    <w:p w14:paraId="46AA4890" w14:textId="77777777" w:rsidR="000E6389" w:rsidRDefault="00E176FD" w:rsidP="00EB44C6">
      <w:pPr>
        <w:tabs>
          <w:tab w:val="left" w:pos="1622"/>
        </w:tabs>
        <w:spacing w:after="0"/>
        <w:rPr>
          <w:rFonts w:eastAsia="MS Mincho" w:cs="Arial"/>
          <w:szCs w:val="24"/>
          <w:lang w:val="en-US" w:eastAsia="en-GB"/>
        </w:rPr>
      </w:pPr>
      <w:r>
        <w:rPr>
          <w:rFonts w:eastAsia="MS Mincho" w:cs="Arial"/>
          <w:szCs w:val="24"/>
          <w:lang w:val="en-US" w:eastAsia="en-GB"/>
        </w:rPr>
        <w:t xml:space="preserve">This contribution provides a discussion about these three alternatives and </w:t>
      </w:r>
      <w:r w:rsidR="000E6389">
        <w:rPr>
          <w:rFonts w:eastAsia="MS Mincho" w:cs="Arial"/>
          <w:szCs w:val="24"/>
          <w:lang w:val="en-US" w:eastAsia="en-GB"/>
        </w:rPr>
        <w:t xml:space="preserve">proposes </w:t>
      </w:r>
      <w:r>
        <w:rPr>
          <w:rFonts w:eastAsia="MS Mincho" w:cs="Arial"/>
          <w:szCs w:val="24"/>
          <w:lang w:val="en-US" w:eastAsia="en-GB"/>
        </w:rPr>
        <w:t>a way forward. Meanwhile, we suggest that RAN2 provides its current understand to RAN1 so that can either be confirmed or clarified.</w:t>
      </w:r>
    </w:p>
    <w:p w14:paraId="422DCB36" w14:textId="16890811" w:rsidR="00EB44C6" w:rsidRDefault="000E6389" w:rsidP="00EB44C6">
      <w:pPr>
        <w:tabs>
          <w:tab w:val="left" w:pos="1622"/>
        </w:tabs>
        <w:spacing w:after="0"/>
        <w:rPr>
          <w:rFonts w:eastAsia="MS Mincho" w:cs="Arial"/>
          <w:szCs w:val="24"/>
          <w:lang w:val="en-US" w:eastAsia="en-GB"/>
        </w:rPr>
      </w:pPr>
      <w:r>
        <w:rPr>
          <w:rFonts w:eastAsia="MS Mincho" w:cs="Arial"/>
          <w:szCs w:val="24"/>
          <w:lang w:val="en-US" w:eastAsia="en-GB"/>
        </w:rPr>
        <w:t>A companion contribution provides a TP where other RLM related issue</w:t>
      </w:r>
      <w:r w:rsidR="003B0A00">
        <w:rPr>
          <w:rFonts w:eastAsia="MS Mincho" w:cs="Arial"/>
          <w:szCs w:val="24"/>
          <w:lang w:val="en-US" w:eastAsia="en-GB"/>
        </w:rPr>
        <w:t>s</w:t>
      </w:r>
      <w:r>
        <w:rPr>
          <w:rFonts w:eastAsia="MS Mincho" w:cs="Arial"/>
          <w:szCs w:val="24"/>
          <w:lang w:val="en-US" w:eastAsia="en-GB"/>
        </w:rPr>
        <w:t>, in addition to this one, are also addressed</w:t>
      </w:r>
      <w:r w:rsidR="00D5499B">
        <w:rPr>
          <w:rFonts w:eastAsia="MS Mincho" w:cs="Arial"/>
          <w:szCs w:val="24"/>
          <w:lang w:val="en-US" w:eastAsia="en-GB"/>
        </w:rPr>
        <w:t xml:space="preserve"> [1].</w:t>
      </w:r>
    </w:p>
    <w:p w14:paraId="25CF0CE4" w14:textId="3DF24D7B" w:rsidR="00D84BC8" w:rsidRDefault="00D84BC8" w:rsidP="00D84BC8">
      <w:pPr>
        <w:pStyle w:val="Heading1"/>
        <w:rPr>
          <w:lang w:val="en-US"/>
        </w:rPr>
      </w:pPr>
      <w:r w:rsidRPr="00573E9E">
        <w:rPr>
          <w:lang w:val="en-US"/>
        </w:rPr>
        <w:t>Discussion</w:t>
      </w:r>
    </w:p>
    <w:p w14:paraId="53594900" w14:textId="77777777" w:rsidR="00144562" w:rsidRDefault="00144562" w:rsidP="00144562">
      <w:pPr>
        <w:tabs>
          <w:tab w:val="left" w:pos="1622"/>
        </w:tabs>
        <w:spacing w:after="0"/>
        <w:rPr>
          <w:rFonts w:eastAsia="MS Mincho" w:cs="Arial"/>
          <w:szCs w:val="24"/>
          <w:lang w:val="en-US" w:eastAsia="en-GB"/>
        </w:rPr>
      </w:pPr>
      <w:r>
        <w:rPr>
          <w:rFonts w:eastAsia="MS Mincho" w:cs="Arial"/>
          <w:szCs w:val="24"/>
          <w:lang w:val="en-US" w:eastAsia="en-GB"/>
        </w:rPr>
        <w:t>Before we suggest a way forward between a/, b/ or c/, some aspects should be analyzed:</w:t>
      </w:r>
    </w:p>
    <w:p w14:paraId="7E364DA7" w14:textId="77777777" w:rsidR="00A346FC" w:rsidRDefault="00A346FC" w:rsidP="00317F83">
      <w:pPr>
        <w:pStyle w:val="ListParagraph"/>
        <w:numPr>
          <w:ilvl w:val="0"/>
          <w:numId w:val="12"/>
        </w:numPr>
        <w:tabs>
          <w:tab w:val="left" w:pos="1622"/>
        </w:tabs>
        <w:spacing w:after="0"/>
        <w:rPr>
          <w:rFonts w:eastAsia="MS Mincho" w:cs="Arial"/>
          <w:szCs w:val="24"/>
          <w:lang w:val="en-US" w:eastAsia="en-GB"/>
        </w:rPr>
      </w:pPr>
      <w:r>
        <w:rPr>
          <w:rFonts w:eastAsia="MS Mincho" w:cs="Arial"/>
          <w:szCs w:val="24"/>
          <w:lang w:val="en-US" w:eastAsia="en-GB"/>
        </w:rPr>
        <w:t>What RS types can be configured for RLM and BLM;</w:t>
      </w:r>
    </w:p>
    <w:p w14:paraId="68DBB456" w14:textId="2BAD38E2" w:rsidR="00144562" w:rsidRDefault="00144562" w:rsidP="00317F83">
      <w:pPr>
        <w:pStyle w:val="ListParagraph"/>
        <w:numPr>
          <w:ilvl w:val="0"/>
          <w:numId w:val="12"/>
        </w:numPr>
        <w:tabs>
          <w:tab w:val="left" w:pos="1622"/>
        </w:tabs>
        <w:spacing w:after="0"/>
        <w:rPr>
          <w:rFonts w:eastAsia="MS Mincho" w:cs="Arial"/>
          <w:szCs w:val="24"/>
          <w:lang w:val="en-US" w:eastAsia="en-GB"/>
        </w:rPr>
      </w:pPr>
      <w:r>
        <w:rPr>
          <w:rFonts w:eastAsia="MS Mincho" w:cs="Arial"/>
          <w:szCs w:val="24"/>
          <w:lang w:val="en-US" w:eastAsia="en-GB"/>
        </w:rPr>
        <w:t>How the failure instances in RLM and beam BLM are generated;</w:t>
      </w:r>
    </w:p>
    <w:p w14:paraId="65C769C1" w14:textId="77777777" w:rsidR="00144562" w:rsidRDefault="00144562" w:rsidP="0057243C">
      <w:pPr>
        <w:tabs>
          <w:tab w:val="left" w:pos="1622"/>
        </w:tabs>
        <w:spacing w:after="0"/>
        <w:rPr>
          <w:rFonts w:eastAsia="MS Mincho" w:cs="Arial"/>
          <w:szCs w:val="24"/>
          <w:lang w:val="en-US" w:eastAsia="en-GB"/>
        </w:rPr>
      </w:pPr>
    </w:p>
    <w:p w14:paraId="4402E4F8" w14:textId="23E2AFE9" w:rsidR="00144562" w:rsidRDefault="00144562" w:rsidP="00144562">
      <w:pPr>
        <w:pStyle w:val="Heading2"/>
        <w:rPr>
          <w:lang w:val="en-US"/>
        </w:rPr>
      </w:pPr>
      <w:r>
        <w:rPr>
          <w:lang w:val="en-US"/>
        </w:rPr>
        <w:t>RS type</w:t>
      </w:r>
      <w:r w:rsidR="00A346FC">
        <w:rPr>
          <w:lang w:val="en-US"/>
        </w:rPr>
        <w:t xml:space="preserve"> for RLM and BLM</w:t>
      </w:r>
      <w:r>
        <w:rPr>
          <w:lang w:val="en-US"/>
        </w:rPr>
        <w:t xml:space="preserve"> </w:t>
      </w:r>
    </w:p>
    <w:p w14:paraId="1AC30D5C" w14:textId="633DA714" w:rsidR="00144562" w:rsidRPr="00A346FC" w:rsidRDefault="00144562" w:rsidP="00144562">
      <w:pPr>
        <w:tabs>
          <w:tab w:val="left" w:pos="1622"/>
        </w:tabs>
        <w:spacing w:after="0"/>
        <w:rPr>
          <w:rFonts w:eastAsia="MS Mincho"/>
          <w:lang w:val="en-US" w:eastAsia="ja-JP"/>
        </w:rPr>
      </w:pPr>
      <w:r>
        <w:rPr>
          <w:rFonts w:eastAsia="MS Mincho" w:cs="Arial"/>
          <w:szCs w:val="24"/>
          <w:lang w:val="en-US" w:eastAsia="en-GB"/>
        </w:rPr>
        <w:t xml:space="preserve">In RAN1#90 it has been agreed that </w:t>
      </w:r>
      <w:r w:rsidRPr="00144562">
        <w:rPr>
          <w:rFonts w:eastAsia="MS Mincho" w:hint="eastAsia"/>
          <w:lang w:val="en-US" w:eastAsia="ja-JP"/>
        </w:rPr>
        <w:t>NR supports to configure X RLM-RS resource(s)</w:t>
      </w:r>
      <w:r>
        <w:rPr>
          <w:rFonts w:eastAsia="MS Mincho"/>
          <w:lang w:val="en-US" w:eastAsia="ja-JP"/>
        </w:rPr>
        <w:t>, where each</w:t>
      </w:r>
      <w:r>
        <w:rPr>
          <w:rFonts w:eastAsia="MS Mincho" w:cs="Arial"/>
          <w:szCs w:val="24"/>
          <w:lang w:val="en-US" w:eastAsia="en-GB"/>
        </w:rPr>
        <w:t xml:space="preserve"> </w:t>
      </w:r>
      <w:r w:rsidRPr="00DC785B">
        <w:rPr>
          <w:rFonts w:eastAsia="MS Mincho" w:hint="eastAsia"/>
          <w:lang w:val="en-US" w:eastAsia="ja-JP"/>
        </w:rPr>
        <w:t>RLM-RS resource can be either one SS/PBCH block or one CSI-RS resource</w:t>
      </w:r>
      <w:r>
        <w:rPr>
          <w:rFonts w:eastAsia="MS Mincho"/>
          <w:lang w:val="en-US" w:eastAsia="ja-JP"/>
        </w:rPr>
        <w:t>.</w:t>
      </w:r>
      <w:r w:rsidR="00A346FC">
        <w:rPr>
          <w:rFonts w:eastAsia="MS Mincho"/>
          <w:lang w:val="en-US" w:eastAsia="ja-JP"/>
        </w:rPr>
        <w:t xml:space="preserve"> </w:t>
      </w:r>
      <w:r>
        <w:rPr>
          <w:rFonts w:eastAsia="MS Mincho" w:cs="Arial"/>
          <w:szCs w:val="24"/>
          <w:lang w:val="en-US" w:eastAsia="en-GB"/>
        </w:rPr>
        <w:t xml:space="preserve">Even before that, in RAN1#88bis it has been agreed that the </w:t>
      </w:r>
      <w:r>
        <w:rPr>
          <w:rFonts w:eastAsia="MS Mincho"/>
          <w:highlight w:val="yellow"/>
          <w:lang w:val="en-US" w:eastAsia="ja-JP"/>
        </w:rPr>
        <w:t xml:space="preserve">beam </w:t>
      </w:r>
      <w:r w:rsidRPr="005658F2">
        <w:rPr>
          <w:rFonts w:eastAsia="MS Mincho"/>
          <w:highlight w:val="yellow"/>
          <w:lang w:val="en-US" w:eastAsia="ja-JP"/>
        </w:rPr>
        <w:t>failure detection RS at least includes periodic CSI-RS for beam management</w:t>
      </w:r>
      <w:r>
        <w:rPr>
          <w:rFonts w:eastAsia="MS Mincho" w:cs="Arial"/>
          <w:szCs w:val="24"/>
          <w:lang w:val="en-US" w:eastAsia="en-GB"/>
        </w:rPr>
        <w:t xml:space="preserve"> and </w:t>
      </w:r>
      <w:r w:rsidRPr="005658F2">
        <w:rPr>
          <w:rFonts w:eastAsia="MS Mincho"/>
          <w:highlight w:val="yellow"/>
          <w:lang w:val="en-US" w:eastAsia="ja-JP"/>
        </w:rPr>
        <w:t xml:space="preserve">SS-block within the serving cell </w:t>
      </w:r>
      <w:r>
        <w:rPr>
          <w:rFonts w:eastAsia="MS Mincho"/>
          <w:highlight w:val="yellow"/>
          <w:lang w:val="en-US" w:eastAsia="ja-JP"/>
        </w:rPr>
        <w:t xml:space="preserve">under the condition that </w:t>
      </w:r>
      <w:r w:rsidRPr="005658F2">
        <w:rPr>
          <w:rFonts w:eastAsia="MS Mincho"/>
          <w:highlight w:val="yellow"/>
          <w:lang w:val="en-US" w:eastAsia="ja-JP"/>
        </w:rPr>
        <w:t>SS-block is also used in beam management</w:t>
      </w:r>
      <w:r>
        <w:rPr>
          <w:rFonts w:eastAsia="MS Mincho"/>
          <w:highlight w:val="yellow"/>
          <w:lang w:val="en-US" w:eastAsia="ja-JP"/>
        </w:rPr>
        <w:t>, which has been later agreed.</w:t>
      </w:r>
    </w:p>
    <w:p w14:paraId="4391540E" w14:textId="77777777" w:rsidR="00144562" w:rsidRPr="00144562" w:rsidRDefault="00144562" w:rsidP="00144562">
      <w:pPr>
        <w:tabs>
          <w:tab w:val="left" w:pos="1622"/>
        </w:tabs>
        <w:spacing w:after="0"/>
        <w:rPr>
          <w:rFonts w:eastAsia="MS Mincho" w:cs="Arial"/>
          <w:szCs w:val="24"/>
          <w:lang w:val="en-US" w:eastAsia="en-GB"/>
        </w:rPr>
      </w:pPr>
    </w:p>
    <w:p w14:paraId="6FA627AC" w14:textId="77777777" w:rsidR="00A346FC" w:rsidRDefault="00144562" w:rsidP="00144562">
      <w:pPr>
        <w:pStyle w:val="Observation"/>
        <w:overflowPunct/>
        <w:autoSpaceDE/>
        <w:autoSpaceDN/>
        <w:adjustRightInd/>
        <w:spacing w:after="160" w:line="259" w:lineRule="auto"/>
        <w:jc w:val="left"/>
        <w:textAlignment w:val="auto"/>
        <w:rPr>
          <w:rFonts w:cs="Arial"/>
          <w:lang w:val="en-US"/>
        </w:rPr>
      </w:pPr>
      <w:r>
        <w:rPr>
          <w:rFonts w:cs="Arial"/>
          <w:lang w:val="en-US"/>
        </w:rPr>
        <w:t>Either SSBs or CSI-RS resources can be configured for as RLM-RS</w:t>
      </w:r>
      <w:r w:rsidR="00A346FC">
        <w:rPr>
          <w:rFonts w:cs="Arial"/>
          <w:lang w:val="en-US"/>
        </w:rPr>
        <w:t>.</w:t>
      </w:r>
    </w:p>
    <w:p w14:paraId="73259BBB" w14:textId="61510755" w:rsidR="00A346FC" w:rsidRPr="00A346FC" w:rsidRDefault="00A346FC" w:rsidP="00A346FC">
      <w:pPr>
        <w:pStyle w:val="Observation"/>
        <w:overflowPunct/>
        <w:autoSpaceDE/>
        <w:autoSpaceDN/>
        <w:adjustRightInd/>
        <w:spacing w:after="160" w:line="259" w:lineRule="auto"/>
        <w:jc w:val="left"/>
        <w:textAlignment w:val="auto"/>
        <w:rPr>
          <w:rFonts w:cs="Arial"/>
          <w:lang w:val="en-US"/>
        </w:rPr>
      </w:pPr>
      <w:r>
        <w:rPr>
          <w:rFonts w:cs="Arial"/>
          <w:lang w:val="en-US"/>
        </w:rPr>
        <w:t xml:space="preserve">Either SSBs or CSI-RS resources can be configured as </w:t>
      </w:r>
      <w:r w:rsidR="00144562" w:rsidRPr="00A346FC">
        <w:rPr>
          <w:rFonts w:cs="Arial"/>
          <w:lang w:val="en-US"/>
        </w:rPr>
        <w:t>beam failure detection RS.</w:t>
      </w:r>
    </w:p>
    <w:p w14:paraId="5AA1DF50" w14:textId="7C378EAE" w:rsidR="00A346FC" w:rsidRDefault="00A346FC" w:rsidP="00A346FC">
      <w:pPr>
        <w:pStyle w:val="Observation"/>
        <w:numPr>
          <w:ilvl w:val="0"/>
          <w:numId w:val="0"/>
        </w:numPr>
        <w:overflowPunct/>
        <w:autoSpaceDE/>
        <w:autoSpaceDN/>
        <w:adjustRightInd/>
        <w:spacing w:after="160" w:line="259" w:lineRule="auto"/>
        <w:ind w:left="1701"/>
        <w:jc w:val="left"/>
        <w:textAlignment w:val="auto"/>
        <w:rPr>
          <w:rFonts w:cs="Arial"/>
          <w:lang w:val="en-US"/>
        </w:rPr>
      </w:pPr>
    </w:p>
    <w:p w14:paraId="7A69A25E" w14:textId="77777777" w:rsidR="00A346FC" w:rsidRPr="00A346FC" w:rsidRDefault="00A346FC" w:rsidP="00A346FC">
      <w:pPr>
        <w:pStyle w:val="Observation"/>
        <w:numPr>
          <w:ilvl w:val="0"/>
          <w:numId w:val="0"/>
        </w:numPr>
        <w:overflowPunct/>
        <w:autoSpaceDE/>
        <w:autoSpaceDN/>
        <w:adjustRightInd/>
        <w:spacing w:after="160" w:line="259" w:lineRule="auto"/>
        <w:ind w:left="1701"/>
        <w:jc w:val="left"/>
        <w:textAlignment w:val="auto"/>
        <w:rPr>
          <w:rFonts w:cs="Arial"/>
          <w:lang w:val="en-US"/>
        </w:rPr>
      </w:pPr>
    </w:p>
    <w:p w14:paraId="4D6EFD95" w14:textId="544D5D77" w:rsidR="00144562" w:rsidRDefault="00144562" w:rsidP="00144562">
      <w:pPr>
        <w:pStyle w:val="Heading2"/>
        <w:rPr>
          <w:lang w:val="en-US"/>
        </w:rPr>
      </w:pPr>
      <w:r>
        <w:rPr>
          <w:lang w:val="en-US"/>
        </w:rPr>
        <w:t>Generation of failure instances</w:t>
      </w:r>
    </w:p>
    <w:p w14:paraId="2A58BCD1" w14:textId="4BB6A705" w:rsidR="00A346FC" w:rsidRDefault="00144562" w:rsidP="00A346FC">
      <w:pPr>
        <w:tabs>
          <w:tab w:val="left" w:pos="1622"/>
        </w:tabs>
        <w:spacing w:after="0"/>
        <w:rPr>
          <w:szCs w:val="32"/>
        </w:rPr>
      </w:pPr>
      <w:r>
        <w:rPr>
          <w:rFonts w:eastAsia="MS Mincho" w:cs="Arial"/>
          <w:szCs w:val="24"/>
          <w:lang w:val="en-US" w:eastAsia="en-GB"/>
        </w:rPr>
        <w:t xml:space="preserve">As in LTE, it has been agreed for NR in RAN1#90 that the </w:t>
      </w:r>
      <w:r>
        <w:rPr>
          <w:rFonts w:eastAsia="MS Mincho"/>
          <w:color w:val="000000"/>
          <w:highlight w:val="yellow"/>
          <w:lang w:eastAsia="ko-KR"/>
        </w:rPr>
        <w:t>h</w:t>
      </w:r>
      <w:r w:rsidRPr="00144562">
        <w:rPr>
          <w:rFonts w:eastAsia="MS Mincho"/>
          <w:color w:val="000000"/>
          <w:highlight w:val="yellow"/>
          <w:lang w:eastAsia="ko-KR"/>
        </w:rPr>
        <w:t xml:space="preserve">ypothetical PDCCH BLER </w:t>
      </w:r>
      <w:r w:rsidRPr="00144562">
        <w:rPr>
          <w:rFonts w:eastAsia="MS Mincho" w:hint="eastAsia"/>
          <w:color w:val="000000"/>
          <w:highlight w:val="yellow"/>
          <w:lang w:eastAsia="ja-JP"/>
        </w:rPr>
        <w:t>is</w:t>
      </w:r>
      <w:r w:rsidRPr="00144562">
        <w:rPr>
          <w:rFonts w:eastAsia="MS Mincho"/>
          <w:color w:val="000000"/>
          <w:highlight w:val="yellow"/>
          <w:lang w:eastAsia="ko-KR"/>
        </w:rPr>
        <w:t xml:space="preserve"> used</w:t>
      </w:r>
      <w:r w:rsidRPr="00144562">
        <w:rPr>
          <w:rFonts w:eastAsia="MS Mincho"/>
          <w:color w:val="000000"/>
          <w:lang w:eastAsia="ko-KR"/>
        </w:rPr>
        <w:t xml:space="preserve"> as the metric for determining IS/OOS conditions</w:t>
      </w:r>
      <w:r w:rsidRPr="00144562">
        <w:rPr>
          <w:rFonts w:eastAsia="MS Mincho" w:hint="eastAsia"/>
          <w:color w:val="000000"/>
          <w:lang w:eastAsia="ja-JP"/>
        </w:rPr>
        <w:t xml:space="preserve"> for both SS/PBCH block based and CSI-RS based RLM</w:t>
      </w:r>
      <w:r w:rsidR="00A346FC">
        <w:rPr>
          <w:rFonts w:eastAsia="MS Mincho"/>
          <w:color w:val="000000"/>
          <w:lang w:eastAsia="ja-JP"/>
        </w:rPr>
        <w:t xml:space="preserve">. Then, one meeting </w:t>
      </w:r>
      <w:r w:rsidR="00A346FC">
        <w:rPr>
          <w:rFonts w:eastAsia="MS Mincho"/>
          <w:color w:val="000000"/>
          <w:lang w:eastAsia="ja-JP"/>
        </w:rPr>
        <w:lastRenderedPageBreak/>
        <w:t xml:space="preserve">later in RAN1#91, it has been agreed that </w:t>
      </w:r>
      <w:r w:rsidR="00A346FC">
        <w:rPr>
          <w:lang w:eastAsia="x-none"/>
        </w:rPr>
        <w:t xml:space="preserve">the </w:t>
      </w:r>
      <w:r w:rsidR="00A346FC" w:rsidRPr="00030C33">
        <w:rPr>
          <w:lang w:eastAsia="x-none"/>
        </w:rPr>
        <w:t>BLER used for beam failure recovery r</w:t>
      </w:r>
      <w:r w:rsidR="00A346FC" w:rsidRPr="00030C33">
        <w:rPr>
          <w:szCs w:val="32"/>
        </w:rPr>
        <w:t>euses RLM default BLER threshold for RLM out-of-sync declaration</w:t>
      </w:r>
      <w:r w:rsidR="00A346FC">
        <w:rPr>
          <w:szCs w:val="32"/>
        </w:rPr>
        <w:t>.</w:t>
      </w:r>
      <w:r w:rsidR="00F00547">
        <w:rPr>
          <w:szCs w:val="32"/>
        </w:rPr>
        <w:t xml:space="preserve"> Hence, in our view, that seems an obvious indication that both RLM and beam failure detection aims to enable the UE to identify potential issues PDCCH and take actions upon some triggering conditions.</w:t>
      </w:r>
    </w:p>
    <w:p w14:paraId="30D97497" w14:textId="2F7BD2B1" w:rsidR="00A346FC" w:rsidRDefault="00A346FC" w:rsidP="00A346FC">
      <w:pPr>
        <w:tabs>
          <w:tab w:val="left" w:pos="1622"/>
        </w:tabs>
        <w:spacing w:after="0"/>
        <w:rPr>
          <w:rFonts w:eastAsia="MS Mincho"/>
          <w:color w:val="000000"/>
          <w:lang w:eastAsia="ja-JP"/>
        </w:rPr>
      </w:pPr>
    </w:p>
    <w:p w14:paraId="3C4EAF16" w14:textId="603925D7" w:rsidR="00A346FC" w:rsidRDefault="00A346FC" w:rsidP="00A346FC">
      <w:pPr>
        <w:tabs>
          <w:tab w:val="left" w:pos="1622"/>
        </w:tabs>
        <w:spacing w:after="0"/>
        <w:rPr>
          <w:rFonts w:eastAsia="MS Mincho"/>
          <w:color w:val="000000"/>
          <w:lang w:eastAsia="ja-JP"/>
        </w:rPr>
      </w:pPr>
      <w:r>
        <w:rPr>
          <w:rFonts w:eastAsia="MS Mincho"/>
          <w:color w:val="000000"/>
          <w:lang w:eastAsia="ja-JP"/>
        </w:rPr>
        <w:t>In other words, RAN1 not only agreed that the BLER is used in both monitoring procedures, but also that in both cases out-of-sync indications are generated.</w:t>
      </w:r>
    </w:p>
    <w:p w14:paraId="0B6D9EF9" w14:textId="77777777" w:rsidR="00A346FC" w:rsidRPr="00A346FC" w:rsidRDefault="00A346FC" w:rsidP="00A346FC">
      <w:pPr>
        <w:tabs>
          <w:tab w:val="left" w:pos="1622"/>
        </w:tabs>
        <w:spacing w:after="0"/>
        <w:rPr>
          <w:rFonts w:eastAsia="MS Mincho"/>
          <w:color w:val="000000"/>
          <w:lang w:eastAsia="ja-JP"/>
        </w:rPr>
      </w:pPr>
    </w:p>
    <w:p w14:paraId="2B0AD8D6" w14:textId="0662C3DC" w:rsidR="00A346FC" w:rsidRDefault="00A346FC" w:rsidP="00A346FC">
      <w:pPr>
        <w:pStyle w:val="Observation"/>
        <w:overflowPunct/>
        <w:autoSpaceDE/>
        <w:autoSpaceDN/>
        <w:adjustRightInd/>
        <w:spacing w:after="160" w:line="259" w:lineRule="auto"/>
        <w:jc w:val="left"/>
        <w:textAlignment w:val="auto"/>
        <w:rPr>
          <w:rFonts w:cs="Arial"/>
          <w:lang w:val="en-US"/>
        </w:rPr>
      </w:pPr>
      <w:r>
        <w:rPr>
          <w:rFonts w:cs="Arial"/>
          <w:lang w:val="en-US"/>
        </w:rPr>
        <w:t>BLER is used in RLM to generate OOS indications to higher layers.</w:t>
      </w:r>
    </w:p>
    <w:p w14:paraId="540E570D" w14:textId="271FD2F2" w:rsidR="00A346FC" w:rsidRDefault="00A346FC" w:rsidP="00A346FC">
      <w:pPr>
        <w:pStyle w:val="Observation"/>
        <w:overflowPunct/>
        <w:autoSpaceDE/>
        <w:autoSpaceDN/>
        <w:adjustRightInd/>
        <w:spacing w:after="160" w:line="259" w:lineRule="auto"/>
        <w:jc w:val="left"/>
        <w:textAlignment w:val="auto"/>
        <w:rPr>
          <w:rFonts w:cs="Arial"/>
          <w:lang w:val="en-US"/>
        </w:rPr>
      </w:pPr>
      <w:r>
        <w:rPr>
          <w:rFonts w:cs="Arial"/>
          <w:lang w:val="en-US"/>
        </w:rPr>
        <w:t>BLER is used in BLM to generate OOS indications to higher layers.</w:t>
      </w:r>
    </w:p>
    <w:p w14:paraId="7DF74B42" w14:textId="77777777" w:rsidR="00A346FC" w:rsidRDefault="00A346FC" w:rsidP="00A346FC">
      <w:pPr>
        <w:tabs>
          <w:tab w:val="left" w:pos="1622"/>
        </w:tabs>
        <w:spacing w:after="0"/>
        <w:rPr>
          <w:rFonts w:eastAsia="MS Mincho"/>
          <w:lang w:val="en-US" w:eastAsia="ja-JP"/>
        </w:rPr>
      </w:pPr>
    </w:p>
    <w:p w14:paraId="1C98C468" w14:textId="6851059B" w:rsidR="0073324E" w:rsidRDefault="00A346FC" w:rsidP="00A346FC">
      <w:pPr>
        <w:tabs>
          <w:tab w:val="left" w:pos="1622"/>
        </w:tabs>
        <w:spacing w:after="0"/>
        <w:rPr>
          <w:rFonts w:eastAsia="MS Mincho"/>
          <w:lang w:val="en-US" w:eastAsia="ja-JP"/>
        </w:rPr>
      </w:pPr>
      <w:r>
        <w:rPr>
          <w:rFonts w:eastAsia="MS Mincho"/>
          <w:lang w:val="en-US" w:eastAsia="ja-JP"/>
        </w:rPr>
        <w:t>One tiny differen</w:t>
      </w:r>
      <w:r w:rsidR="000033C0">
        <w:rPr>
          <w:rFonts w:eastAsia="MS Mincho"/>
          <w:lang w:val="en-US" w:eastAsia="ja-JP"/>
        </w:rPr>
        <w:t>ce</w:t>
      </w:r>
      <w:r>
        <w:rPr>
          <w:rFonts w:eastAsia="MS Mincho"/>
          <w:lang w:val="en-US" w:eastAsia="ja-JP"/>
        </w:rPr>
        <w:t xml:space="preserve"> that we have noticed is that for BLM, for some </w:t>
      </w:r>
      <w:r w:rsidR="00F00547">
        <w:rPr>
          <w:rFonts w:eastAsia="MS Mincho"/>
          <w:lang w:val="en-US" w:eastAsia="ja-JP"/>
        </w:rPr>
        <w:t xml:space="preserve">strange </w:t>
      </w:r>
      <w:r>
        <w:rPr>
          <w:rFonts w:eastAsia="MS Mincho"/>
          <w:lang w:val="en-US" w:eastAsia="ja-JP"/>
        </w:rPr>
        <w:t>reason, RAN1 has “restricted” the usage of a default BLER value used in RLM, perhaps to reduce the amount of configuration</w:t>
      </w:r>
      <w:r w:rsidR="00F00547">
        <w:rPr>
          <w:rFonts w:eastAsia="MS Mincho"/>
          <w:lang w:val="en-US" w:eastAsia="ja-JP"/>
        </w:rPr>
        <w:t>, not very small in NR</w:t>
      </w:r>
      <w:r>
        <w:rPr>
          <w:rFonts w:eastAsia="MS Mincho"/>
          <w:lang w:val="en-US" w:eastAsia="ja-JP"/>
        </w:rPr>
        <w:t>.</w:t>
      </w:r>
      <w:r w:rsidR="00F00547">
        <w:rPr>
          <w:rFonts w:eastAsia="MS Mincho"/>
          <w:lang w:val="en-US" w:eastAsia="ja-JP"/>
        </w:rPr>
        <w:t xml:space="preserve"> </w:t>
      </w:r>
      <w:r>
        <w:rPr>
          <w:rFonts w:eastAsia="MS Mincho"/>
          <w:lang w:val="en-US" w:eastAsia="ja-JP"/>
        </w:rPr>
        <w:t xml:space="preserve">Another </w:t>
      </w:r>
      <w:r w:rsidR="0073324E">
        <w:rPr>
          <w:rFonts w:eastAsia="MS Mincho"/>
          <w:lang w:val="en-US" w:eastAsia="ja-JP"/>
        </w:rPr>
        <w:t xml:space="preserve">potential </w:t>
      </w:r>
      <w:r>
        <w:rPr>
          <w:rFonts w:eastAsia="MS Mincho"/>
          <w:lang w:val="en-US" w:eastAsia="ja-JP"/>
        </w:rPr>
        <w:t>differen</w:t>
      </w:r>
      <w:r w:rsidR="0073324E">
        <w:rPr>
          <w:rFonts w:eastAsia="MS Mincho"/>
          <w:lang w:val="en-US" w:eastAsia="ja-JP"/>
        </w:rPr>
        <w:t xml:space="preserve">ce </w:t>
      </w:r>
      <w:r>
        <w:rPr>
          <w:rFonts w:eastAsia="MS Mincho"/>
          <w:lang w:val="en-US" w:eastAsia="ja-JP"/>
        </w:rPr>
        <w:t xml:space="preserve">relates to the IS indications. While in RLM it has been agreed to follow the LTE principle in NR of explicitly generating IS indications, for BLM, </w:t>
      </w:r>
      <w:r w:rsidR="0073324E">
        <w:rPr>
          <w:rFonts w:eastAsia="MS Mincho"/>
          <w:lang w:val="en-US" w:eastAsia="ja-JP"/>
        </w:rPr>
        <w:t xml:space="preserve">to notify MAC that beam recovery is successful, </w:t>
      </w:r>
      <w:r>
        <w:rPr>
          <w:rFonts w:eastAsia="MS Mincho"/>
          <w:lang w:val="en-US" w:eastAsia="ja-JP"/>
        </w:rPr>
        <w:t>RAN1 has preliminary assumed that “implicit indications” (absence of OOS indications) would be used</w:t>
      </w:r>
      <w:r w:rsidR="0073324E">
        <w:rPr>
          <w:rFonts w:eastAsia="MS Mincho"/>
          <w:lang w:val="en-US" w:eastAsia="ja-JP"/>
        </w:rPr>
        <w:t xml:space="preserve"> i.e. that there would be the continuation of a periodic monitoring process that will not generate OOS events because the BLER criteria is not fulfilled, which could be easily aligned to the RLM criteria relying on the same BLER values to generate IS events instead of defining yet another complicated solution.</w:t>
      </w:r>
    </w:p>
    <w:p w14:paraId="47321CB8" w14:textId="59549ABB" w:rsidR="00A346FC" w:rsidRDefault="00A346FC" w:rsidP="0057243C">
      <w:pPr>
        <w:tabs>
          <w:tab w:val="left" w:pos="1622"/>
        </w:tabs>
        <w:spacing w:after="0"/>
        <w:rPr>
          <w:rFonts w:eastAsia="MS Mincho" w:cs="Arial"/>
          <w:szCs w:val="24"/>
          <w:lang w:val="en-US" w:eastAsia="en-GB"/>
        </w:rPr>
      </w:pPr>
    </w:p>
    <w:p w14:paraId="7BF07204" w14:textId="3376EAAD" w:rsidR="0073324E" w:rsidRDefault="0073324E" w:rsidP="0073324E">
      <w:pPr>
        <w:pStyle w:val="Observation"/>
        <w:overflowPunct/>
        <w:autoSpaceDE/>
        <w:autoSpaceDN/>
        <w:adjustRightInd/>
        <w:spacing w:after="160" w:line="259" w:lineRule="auto"/>
        <w:jc w:val="left"/>
        <w:textAlignment w:val="auto"/>
        <w:rPr>
          <w:rFonts w:cs="Arial"/>
          <w:lang w:val="en-US"/>
        </w:rPr>
      </w:pPr>
      <w:r>
        <w:rPr>
          <w:rFonts w:cs="Arial"/>
          <w:lang w:val="en-US"/>
        </w:rPr>
        <w:t>BLER is used to generate IS indications to higher layers in RLM.</w:t>
      </w:r>
    </w:p>
    <w:p w14:paraId="215A9738" w14:textId="06959E91" w:rsidR="00A346FC" w:rsidRPr="00F00547" w:rsidRDefault="0073324E" w:rsidP="00F00547">
      <w:pPr>
        <w:pStyle w:val="Observation"/>
        <w:overflowPunct/>
        <w:autoSpaceDE/>
        <w:autoSpaceDN/>
        <w:adjustRightInd/>
        <w:spacing w:after="160" w:line="259" w:lineRule="auto"/>
        <w:jc w:val="left"/>
        <w:textAlignment w:val="auto"/>
        <w:rPr>
          <w:rFonts w:cs="Arial"/>
          <w:lang w:val="en-US"/>
        </w:rPr>
      </w:pPr>
      <w:r>
        <w:rPr>
          <w:rFonts w:cs="Arial"/>
          <w:lang w:val="en-US"/>
        </w:rPr>
        <w:t>BLER could easily be reused in BLM to generate IS indications to higher layers.</w:t>
      </w:r>
    </w:p>
    <w:p w14:paraId="134F3479" w14:textId="6359778F" w:rsidR="002B7F30" w:rsidRDefault="002B7F30" w:rsidP="0057243C">
      <w:pPr>
        <w:tabs>
          <w:tab w:val="left" w:pos="1622"/>
        </w:tabs>
        <w:spacing w:after="0"/>
        <w:rPr>
          <w:rFonts w:eastAsia="MS Mincho" w:cs="Arial"/>
          <w:szCs w:val="24"/>
          <w:lang w:val="en-US" w:eastAsia="en-GB"/>
        </w:rPr>
      </w:pPr>
    </w:p>
    <w:p w14:paraId="6094E8FB" w14:textId="66CDEA04" w:rsidR="002B7F30" w:rsidRDefault="002B7F30" w:rsidP="002B7F30">
      <w:pPr>
        <w:pStyle w:val="Heading2"/>
        <w:rPr>
          <w:lang w:val="en-US"/>
        </w:rPr>
      </w:pPr>
      <w:r>
        <w:rPr>
          <w:lang w:val="en-US"/>
        </w:rPr>
        <w:t>Analyses of the different solutions</w:t>
      </w:r>
    </w:p>
    <w:p w14:paraId="1138A7D3" w14:textId="4E864C5A" w:rsidR="002B7F30" w:rsidRDefault="002B7F30" w:rsidP="002B7F30">
      <w:pPr>
        <w:tabs>
          <w:tab w:val="left" w:pos="1622"/>
        </w:tabs>
        <w:spacing w:after="0"/>
        <w:rPr>
          <w:rFonts w:eastAsia="MS Mincho" w:cs="Arial"/>
          <w:szCs w:val="24"/>
          <w:lang w:val="en-US" w:eastAsia="en-GB"/>
        </w:rPr>
      </w:pPr>
      <w:r>
        <w:rPr>
          <w:rFonts w:eastAsia="MS Mincho" w:cs="Arial"/>
          <w:szCs w:val="24"/>
          <w:lang w:val="en-US" w:eastAsia="en-GB"/>
        </w:rPr>
        <w:t>Now, considering the previous background provided in section s 2.1</w:t>
      </w:r>
      <w:r w:rsidR="00F00547">
        <w:rPr>
          <w:rFonts w:eastAsia="MS Mincho" w:cs="Arial"/>
          <w:szCs w:val="24"/>
          <w:lang w:val="en-US" w:eastAsia="en-GB"/>
        </w:rPr>
        <w:t xml:space="preserve"> and</w:t>
      </w:r>
      <w:r>
        <w:rPr>
          <w:rFonts w:eastAsia="MS Mincho" w:cs="Arial"/>
          <w:szCs w:val="24"/>
          <w:lang w:val="en-US" w:eastAsia="en-GB"/>
        </w:rPr>
        <w:t xml:space="preserve"> 2.2, let’s try to discuss the different assumptions, i.e., whether </w:t>
      </w:r>
      <w:r w:rsidRPr="009D65BC">
        <w:rPr>
          <w:rFonts w:eastAsia="MS Mincho" w:cs="Arial"/>
          <w:szCs w:val="24"/>
          <w:lang w:val="en-US" w:eastAsia="en-GB"/>
        </w:rPr>
        <w:t xml:space="preserve">beam monitoring resources </w:t>
      </w:r>
      <w:r>
        <w:rPr>
          <w:rFonts w:eastAsia="MS Mincho" w:cs="Arial"/>
          <w:szCs w:val="24"/>
          <w:lang w:val="en-US" w:eastAsia="en-GB"/>
        </w:rPr>
        <w:t xml:space="preserve">for failure detection, configured in </w:t>
      </w:r>
      <w:r w:rsidRPr="00E176FD">
        <w:rPr>
          <w:rFonts w:eastAsia="MS Mincho" w:cs="Arial"/>
          <w:i/>
          <w:szCs w:val="24"/>
          <w:lang w:val="en-US" w:eastAsia="en-GB"/>
        </w:rPr>
        <w:t>BeamFailureDetectionConfig</w:t>
      </w:r>
      <w:r>
        <w:rPr>
          <w:rFonts w:eastAsia="MS Mincho" w:cs="Arial"/>
          <w:i/>
          <w:szCs w:val="24"/>
          <w:lang w:val="en-US" w:eastAsia="en-GB"/>
        </w:rPr>
        <w:t>,</w:t>
      </w:r>
      <w:r>
        <w:rPr>
          <w:rFonts w:eastAsia="MS Mincho" w:cs="Arial"/>
          <w:szCs w:val="24"/>
          <w:lang w:val="en-US" w:eastAsia="en-GB"/>
        </w:rPr>
        <w:t xml:space="preserve"> are:</w:t>
      </w:r>
    </w:p>
    <w:p w14:paraId="458B0E5D" w14:textId="77777777" w:rsidR="002B7F30" w:rsidRDefault="002B7F30" w:rsidP="00317F83">
      <w:pPr>
        <w:pStyle w:val="ListParagraph"/>
        <w:numPr>
          <w:ilvl w:val="0"/>
          <w:numId w:val="12"/>
        </w:numPr>
        <w:tabs>
          <w:tab w:val="left" w:pos="1622"/>
        </w:tabs>
        <w:spacing w:after="0"/>
        <w:rPr>
          <w:rFonts w:eastAsia="MS Mincho" w:cs="Arial"/>
          <w:szCs w:val="24"/>
          <w:lang w:val="en-US" w:eastAsia="en-GB"/>
        </w:rPr>
      </w:pPr>
      <w:r w:rsidRPr="00E176FD">
        <w:rPr>
          <w:rFonts w:eastAsia="MS Mincho" w:cs="Arial"/>
          <w:szCs w:val="24"/>
          <w:lang w:val="en-US" w:eastAsia="en-GB"/>
        </w:rPr>
        <w:t>a/ the same as the RLM-RS resources</w:t>
      </w:r>
      <w:r>
        <w:rPr>
          <w:rFonts w:eastAsia="MS Mincho" w:cs="Arial"/>
          <w:szCs w:val="24"/>
          <w:lang w:val="en-US" w:eastAsia="en-GB"/>
        </w:rPr>
        <w:t>;</w:t>
      </w:r>
    </w:p>
    <w:p w14:paraId="02B2CEEB" w14:textId="77777777" w:rsidR="002B7F30" w:rsidRDefault="002B7F30" w:rsidP="00317F83">
      <w:pPr>
        <w:pStyle w:val="ListParagraph"/>
        <w:numPr>
          <w:ilvl w:val="0"/>
          <w:numId w:val="12"/>
        </w:numPr>
        <w:tabs>
          <w:tab w:val="left" w:pos="1622"/>
        </w:tabs>
        <w:spacing w:after="0"/>
        <w:rPr>
          <w:rFonts w:eastAsia="MS Mincho" w:cs="Arial"/>
          <w:szCs w:val="24"/>
          <w:lang w:val="en-US" w:eastAsia="en-GB"/>
        </w:rPr>
      </w:pPr>
      <w:r w:rsidRPr="00E176FD">
        <w:rPr>
          <w:rFonts w:eastAsia="MS Mincho" w:cs="Arial"/>
          <w:szCs w:val="24"/>
          <w:lang w:val="en-US" w:eastAsia="en-GB"/>
        </w:rPr>
        <w:t>b/ a subset of the RLM-RS resources or</w:t>
      </w:r>
      <w:r>
        <w:rPr>
          <w:rFonts w:eastAsia="MS Mincho" w:cs="Arial"/>
          <w:szCs w:val="24"/>
          <w:lang w:val="en-US" w:eastAsia="en-GB"/>
        </w:rPr>
        <w:t>;</w:t>
      </w:r>
    </w:p>
    <w:p w14:paraId="20B8CBA4" w14:textId="77777777" w:rsidR="002B7F30" w:rsidRPr="00E176FD" w:rsidRDefault="002B7F30" w:rsidP="00317F83">
      <w:pPr>
        <w:pStyle w:val="ListParagraph"/>
        <w:numPr>
          <w:ilvl w:val="0"/>
          <w:numId w:val="12"/>
        </w:numPr>
        <w:tabs>
          <w:tab w:val="left" w:pos="1622"/>
        </w:tabs>
        <w:spacing w:after="0"/>
        <w:rPr>
          <w:rFonts w:eastAsia="MS Mincho" w:cs="Arial"/>
          <w:szCs w:val="24"/>
          <w:lang w:val="en-US" w:eastAsia="en-GB"/>
        </w:rPr>
      </w:pPr>
      <w:r w:rsidRPr="00E176FD">
        <w:rPr>
          <w:rFonts w:eastAsia="MS Mincho" w:cs="Arial"/>
          <w:szCs w:val="24"/>
          <w:lang w:val="en-US" w:eastAsia="en-GB"/>
        </w:rPr>
        <w:t>c/ a completely orthogonal set of resources.</w:t>
      </w:r>
    </w:p>
    <w:p w14:paraId="26A189B0" w14:textId="5E2C6552" w:rsidR="002B7F30" w:rsidRDefault="002B7F30" w:rsidP="0057243C">
      <w:pPr>
        <w:tabs>
          <w:tab w:val="left" w:pos="1622"/>
        </w:tabs>
        <w:spacing w:after="0"/>
        <w:rPr>
          <w:rFonts w:eastAsia="MS Mincho" w:cs="Arial"/>
          <w:szCs w:val="24"/>
          <w:lang w:val="en-US" w:eastAsia="en-GB"/>
        </w:rPr>
      </w:pPr>
    </w:p>
    <w:p w14:paraId="6837E915" w14:textId="3C1999FE" w:rsidR="002B7F30" w:rsidRDefault="003D4A85" w:rsidP="0057243C">
      <w:pPr>
        <w:tabs>
          <w:tab w:val="left" w:pos="1622"/>
        </w:tabs>
        <w:spacing w:after="0"/>
        <w:rPr>
          <w:rFonts w:eastAsia="MS Mincho" w:cs="Arial"/>
          <w:szCs w:val="24"/>
          <w:lang w:val="en-US" w:eastAsia="en-GB"/>
        </w:rPr>
      </w:pPr>
      <w:r>
        <w:rPr>
          <w:rFonts w:eastAsia="MS Mincho" w:cs="Arial"/>
          <w:szCs w:val="24"/>
          <w:lang w:val="en-US" w:eastAsia="en-GB"/>
        </w:rPr>
        <w:t xml:space="preserve">If </w:t>
      </w:r>
      <w:r w:rsidR="002B7F30">
        <w:rPr>
          <w:rFonts w:eastAsia="MS Mincho" w:cs="Arial"/>
          <w:szCs w:val="24"/>
          <w:lang w:val="en-US" w:eastAsia="en-GB"/>
        </w:rPr>
        <w:t xml:space="preserve">RAN2 assumes a/, </w:t>
      </w:r>
      <w:r w:rsidR="009F4941">
        <w:rPr>
          <w:rFonts w:eastAsia="MS Mincho" w:cs="Arial"/>
          <w:szCs w:val="24"/>
          <w:lang w:val="en-US" w:eastAsia="en-GB"/>
        </w:rPr>
        <w:t>we need to analyze two different assumptions: a1/ beams providing cell coverage (e.g. total number of transmitted SSBs)</w:t>
      </w:r>
      <w:r w:rsidR="00C82E22">
        <w:rPr>
          <w:rFonts w:eastAsia="MS Mincho" w:cs="Arial"/>
          <w:szCs w:val="24"/>
          <w:lang w:val="en-US" w:eastAsia="en-GB"/>
        </w:rPr>
        <w:t xml:space="preserve"> are the same configured for radio link monitoring and beam failure detection; and a2/ there are more beams providing cell coverage (e.g. total number of transmitted SSBs) than the configured for radio link monitoring and beam failure detection. In the case of a1, the assumption a/ will mean that beam recovery is never triggered </w:t>
      </w:r>
      <w:r w:rsidR="006B3853">
        <w:rPr>
          <w:rFonts w:eastAsia="MS Mincho" w:cs="Arial"/>
          <w:szCs w:val="24"/>
          <w:lang w:val="en-US" w:eastAsia="en-GB"/>
        </w:rPr>
        <w:t xml:space="preserve">(i.e. is not needed) as if UE is configured to monitor all beams, a failure means that there is no candidate beam from the same cell, i.e., recovery cannot be triggered and at some point RLF will occur. In the case of a2, things make </w:t>
      </w:r>
      <w:r w:rsidR="00C75D45">
        <w:rPr>
          <w:rFonts w:eastAsia="MS Mincho" w:cs="Arial"/>
          <w:szCs w:val="24"/>
          <w:lang w:val="en-US" w:eastAsia="en-GB"/>
        </w:rPr>
        <w:t xml:space="preserve">more </w:t>
      </w:r>
      <w:r w:rsidR="006B3853">
        <w:rPr>
          <w:rFonts w:eastAsia="MS Mincho" w:cs="Arial"/>
          <w:szCs w:val="24"/>
          <w:lang w:val="en-US" w:eastAsia="en-GB"/>
        </w:rPr>
        <w:t>sense as</w:t>
      </w:r>
      <w:r w:rsidR="008A3160">
        <w:rPr>
          <w:rFonts w:eastAsia="MS Mincho" w:cs="Arial"/>
          <w:szCs w:val="24"/>
          <w:lang w:val="en-US" w:eastAsia="en-GB"/>
        </w:rPr>
        <w:t xml:space="preserve"> when beam failure is detected, before RLF (as RLF counter would be larger than the counter for beam failure detection)</w:t>
      </w:r>
      <w:r w:rsidR="00C75D45">
        <w:rPr>
          <w:rFonts w:eastAsia="MS Mincho" w:cs="Arial"/>
          <w:szCs w:val="24"/>
          <w:lang w:val="en-US" w:eastAsia="en-GB"/>
        </w:rPr>
        <w:t xml:space="preserve">, </w:t>
      </w:r>
      <w:r w:rsidR="008A3160">
        <w:rPr>
          <w:rFonts w:eastAsia="MS Mincho" w:cs="Arial"/>
          <w:szCs w:val="24"/>
          <w:lang w:val="en-US" w:eastAsia="en-GB"/>
        </w:rPr>
        <w:t xml:space="preserve">the UE performs </w:t>
      </w:r>
      <w:r w:rsidR="00C75D45">
        <w:rPr>
          <w:rFonts w:eastAsia="MS Mincho" w:cs="Arial"/>
          <w:szCs w:val="24"/>
          <w:lang w:val="en-US" w:eastAsia="en-GB"/>
        </w:rPr>
        <w:t xml:space="preserve">beam </w:t>
      </w:r>
      <w:r w:rsidR="008A3160">
        <w:rPr>
          <w:rFonts w:eastAsia="MS Mincho" w:cs="Arial"/>
          <w:szCs w:val="24"/>
          <w:lang w:val="en-US" w:eastAsia="en-GB"/>
        </w:rPr>
        <w:t xml:space="preserve">recovery </w:t>
      </w:r>
      <w:r w:rsidR="0005607E">
        <w:rPr>
          <w:rFonts w:eastAsia="MS Mincho" w:cs="Arial"/>
          <w:szCs w:val="24"/>
          <w:lang w:val="en-US" w:eastAsia="en-GB"/>
        </w:rPr>
        <w:t>having the remaining beams providing cell coverage as candidate beams in the case network fails to track the UE with L1-based beam management reporting.</w:t>
      </w:r>
      <w:r w:rsidR="00017239">
        <w:rPr>
          <w:rFonts w:eastAsia="MS Mincho" w:cs="Arial"/>
          <w:szCs w:val="24"/>
          <w:lang w:val="en-US" w:eastAsia="en-GB"/>
        </w:rPr>
        <w:t xml:space="preserve"> That would also enable the network to limit the number of beams the UE monitors for RLM and beam failure monitoring, but still have some robustness with beam recovery. </w:t>
      </w:r>
      <w:r w:rsidR="000839BA">
        <w:rPr>
          <w:rFonts w:eastAsia="MS Mincho" w:cs="Arial"/>
          <w:szCs w:val="24"/>
          <w:lang w:val="en-US" w:eastAsia="en-GB"/>
        </w:rPr>
        <w:t xml:space="preserve">A </w:t>
      </w:r>
      <w:r>
        <w:rPr>
          <w:rFonts w:eastAsia="MS Mincho" w:cs="Arial"/>
          <w:szCs w:val="24"/>
          <w:lang w:val="en-US" w:eastAsia="en-GB"/>
        </w:rPr>
        <w:t>follow up question would be if the monitoring procedure for BLM and RLM is the same</w:t>
      </w:r>
      <w:r w:rsidR="000839BA">
        <w:rPr>
          <w:rFonts w:eastAsia="MS Mincho" w:cs="Arial"/>
          <w:szCs w:val="24"/>
          <w:lang w:val="en-US" w:eastAsia="en-GB"/>
        </w:rPr>
        <w:t xml:space="preserve"> (e.g. in terms of measurement periodicity, etc.), but that is clearly out of the RAN2 scope</w:t>
      </w:r>
      <w:r>
        <w:rPr>
          <w:rFonts w:eastAsia="MS Mincho" w:cs="Arial"/>
          <w:szCs w:val="24"/>
          <w:lang w:val="en-US" w:eastAsia="en-GB"/>
        </w:rPr>
        <w:t>.</w:t>
      </w:r>
    </w:p>
    <w:p w14:paraId="7375266A" w14:textId="0E1BEBEE" w:rsidR="002B7F30" w:rsidRDefault="002B7F30" w:rsidP="0057243C">
      <w:pPr>
        <w:tabs>
          <w:tab w:val="left" w:pos="1622"/>
        </w:tabs>
        <w:spacing w:after="0"/>
        <w:rPr>
          <w:rFonts w:eastAsia="MS Mincho" w:cs="Arial"/>
          <w:szCs w:val="24"/>
          <w:lang w:val="en-US" w:eastAsia="en-GB"/>
        </w:rPr>
      </w:pPr>
    </w:p>
    <w:p w14:paraId="49A0690D" w14:textId="04AF3D49" w:rsidR="00C54701" w:rsidRDefault="003D4A85" w:rsidP="003D4A85">
      <w:pPr>
        <w:tabs>
          <w:tab w:val="left" w:pos="1622"/>
        </w:tabs>
        <w:spacing w:after="0"/>
        <w:rPr>
          <w:rFonts w:eastAsia="MS Mincho" w:cs="Arial"/>
          <w:szCs w:val="24"/>
          <w:lang w:val="en-US" w:eastAsia="en-GB"/>
        </w:rPr>
      </w:pPr>
      <w:r>
        <w:rPr>
          <w:rFonts w:eastAsia="MS Mincho" w:cs="Arial"/>
          <w:szCs w:val="24"/>
          <w:lang w:val="en-US" w:eastAsia="en-GB"/>
        </w:rPr>
        <w:t xml:space="preserve">If RAN2 assumes b/, i.e., BLM resources would be a subset of RLM resources. </w:t>
      </w:r>
      <w:r w:rsidR="00350EB4">
        <w:rPr>
          <w:rFonts w:eastAsia="MS Mincho" w:cs="Arial"/>
          <w:szCs w:val="24"/>
          <w:lang w:val="en-US" w:eastAsia="en-GB"/>
        </w:rPr>
        <w:t>In other words,</w:t>
      </w:r>
      <w:r w:rsidR="00C54701">
        <w:rPr>
          <w:rFonts w:eastAsia="MS Mincho" w:cs="Arial"/>
          <w:szCs w:val="24"/>
          <w:lang w:val="en-US" w:eastAsia="en-GB"/>
        </w:rPr>
        <w:t xml:space="preserve"> the UE could detect beam failure</w:t>
      </w:r>
      <w:r w:rsidR="00D10963">
        <w:rPr>
          <w:rFonts w:eastAsia="MS Mincho" w:cs="Arial"/>
          <w:szCs w:val="24"/>
          <w:lang w:val="en-US" w:eastAsia="en-GB"/>
        </w:rPr>
        <w:t>, perform recovery and still be under cell coverage i.e. no chance to declare RLF. In other words, RLF would only be triggered when the UE leaves cell coverage</w:t>
      </w:r>
      <w:r w:rsidR="004C3593">
        <w:rPr>
          <w:rFonts w:eastAsia="MS Mincho" w:cs="Arial"/>
          <w:szCs w:val="24"/>
          <w:lang w:val="en-US" w:eastAsia="en-GB"/>
        </w:rPr>
        <w:t xml:space="preserve"> and, in that case, there is no chance to perform beam recovery except if we also define a limited set of RLM resources compared to cell coverage. In that case, recovery could still be possible depending how recovery resources are configured. </w:t>
      </w:r>
    </w:p>
    <w:p w14:paraId="43597059" w14:textId="27F1057C" w:rsidR="003D4A85" w:rsidRDefault="003D4A85" w:rsidP="003D4A85">
      <w:pPr>
        <w:tabs>
          <w:tab w:val="left" w:pos="1622"/>
        </w:tabs>
        <w:spacing w:after="0"/>
        <w:rPr>
          <w:rFonts w:eastAsia="MS Mincho" w:cs="Arial"/>
          <w:szCs w:val="24"/>
          <w:lang w:val="en-US" w:eastAsia="en-GB"/>
        </w:rPr>
      </w:pPr>
    </w:p>
    <w:p w14:paraId="6220DAB7" w14:textId="1A3AAF1E" w:rsidR="003D4A85" w:rsidRDefault="003D4A85" w:rsidP="003D4A85">
      <w:pPr>
        <w:tabs>
          <w:tab w:val="left" w:pos="1622"/>
        </w:tabs>
        <w:spacing w:after="0"/>
        <w:rPr>
          <w:rFonts w:eastAsia="MS Mincho" w:cs="Arial"/>
          <w:szCs w:val="24"/>
          <w:lang w:val="en-US" w:eastAsia="en-GB"/>
        </w:rPr>
      </w:pPr>
      <w:r>
        <w:rPr>
          <w:rFonts w:eastAsia="MS Mincho" w:cs="Arial"/>
          <w:szCs w:val="24"/>
          <w:lang w:val="en-US" w:eastAsia="en-GB"/>
        </w:rPr>
        <w:t xml:space="preserve">If RAN2 assumes c/, i.e., BLM resources would be possibly orthogonal to RLM resources. </w:t>
      </w:r>
      <w:r w:rsidR="00524027">
        <w:rPr>
          <w:rFonts w:eastAsia="MS Mincho" w:cs="Arial"/>
          <w:szCs w:val="24"/>
          <w:lang w:val="en-US" w:eastAsia="en-GB"/>
        </w:rPr>
        <w:t xml:space="preserve">If </w:t>
      </w:r>
      <w:r>
        <w:rPr>
          <w:rFonts w:eastAsia="MS Mincho" w:cs="Arial"/>
          <w:szCs w:val="24"/>
          <w:lang w:val="en-US" w:eastAsia="en-GB"/>
        </w:rPr>
        <w:t xml:space="preserve">that is the case, </w:t>
      </w:r>
      <w:r w:rsidR="00524027">
        <w:rPr>
          <w:rFonts w:eastAsia="MS Mincho" w:cs="Arial"/>
          <w:szCs w:val="24"/>
          <w:lang w:val="en-US" w:eastAsia="en-GB"/>
        </w:rPr>
        <w:t>there seems to be a potential in</w:t>
      </w:r>
      <w:r>
        <w:rPr>
          <w:rFonts w:eastAsia="MS Mincho" w:cs="Arial"/>
          <w:szCs w:val="24"/>
          <w:lang w:val="en-US" w:eastAsia="en-GB"/>
        </w:rPr>
        <w:t xml:space="preserve">consistency. It has been argued by </w:t>
      </w:r>
      <w:r w:rsidR="00524027">
        <w:rPr>
          <w:rFonts w:eastAsia="MS Mincho" w:cs="Arial"/>
          <w:szCs w:val="24"/>
          <w:lang w:val="en-US" w:eastAsia="en-GB"/>
        </w:rPr>
        <w:t xml:space="preserve">some </w:t>
      </w:r>
      <w:r>
        <w:rPr>
          <w:rFonts w:eastAsia="MS Mincho" w:cs="Arial"/>
          <w:szCs w:val="24"/>
          <w:lang w:val="en-US" w:eastAsia="en-GB"/>
        </w:rPr>
        <w:t xml:space="preserve">companies in RAN1 that </w:t>
      </w:r>
      <w:r w:rsidR="00524027">
        <w:rPr>
          <w:rFonts w:eastAsia="MS Mincho" w:cs="Arial"/>
          <w:szCs w:val="24"/>
          <w:lang w:val="en-US" w:eastAsia="en-GB"/>
        </w:rPr>
        <w:t xml:space="preserve">the </w:t>
      </w:r>
      <w:r>
        <w:rPr>
          <w:rFonts w:eastAsia="MS Mincho" w:cs="Arial"/>
          <w:szCs w:val="24"/>
          <w:lang w:val="en-US" w:eastAsia="en-GB"/>
        </w:rPr>
        <w:t xml:space="preserve">generation of OOS indications based on BLER was </w:t>
      </w:r>
      <w:r w:rsidR="00524027">
        <w:rPr>
          <w:rFonts w:eastAsia="MS Mincho" w:cs="Arial"/>
          <w:szCs w:val="24"/>
          <w:lang w:val="en-US" w:eastAsia="en-GB"/>
        </w:rPr>
        <w:t xml:space="preserve">a </w:t>
      </w:r>
      <w:r>
        <w:rPr>
          <w:rFonts w:eastAsia="MS Mincho" w:cs="Arial"/>
          <w:szCs w:val="24"/>
          <w:lang w:val="en-US" w:eastAsia="en-GB"/>
        </w:rPr>
        <w:t xml:space="preserve">too complex </w:t>
      </w:r>
      <w:r w:rsidR="00524027">
        <w:rPr>
          <w:rFonts w:eastAsia="MS Mincho" w:cs="Arial"/>
          <w:szCs w:val="24"/>
          <w:lang w:val="en-US" w:eastAsia="en-GB"/>
        </w:rPr>
        <w:t xml:space="preserve">operation </w:t>
      </w:r>
      <w:r>
        <w:rPr>
          <w:rFonts w:eastAsia="MS Mincho" w:cs="Arial"/>
          <w:szCs w:val="24"/>
          <w:lang w:val="en-US" w:eastAsia="en-GB"/>
        </w:rPr>
        <w:t>to allow the monitoring of too many beams, i.e., the monitoring of all possible SSB</w:t>
      </w:r>
      <w:r w:rsidR="00524027">
        <w:rPr>
          <w:rFonts w:eastAsia="MS Mincho" w:cs="Arial"/>
          <w:szCs w:val="24"/>
          <w:lang w:val="en-US" w:eastAsia="en-GB"/>
        </w:rPr>
        <w:t xml:space="preserve">s </w:t>
      </w:r>
      <w:r>
        <w:rPr>
          <w:rFonts w:eastAsia="MS Mincho" w:cs="Arial"/>
          <w:szCs w:val="24"/>
          <w:lang w:val="en-US" w:eastAsia="en-GB"/>
        </w:rPr>
        <w:t xml:space="preserve">within the serving cell. However, agreeing with c/ would mean that somehow it would be </w:t>
      </w:r>
      <w:r w:rsidR="00524027">
        <w:rPr>
          <w:rFonts w:eastAsia="MS Mincho" w:cs="Arial"/>
          <w:szCs w:val="24"/>
          <w:lang w:val="en-US" w:eastAsia="en-GB"/>
        </w:rPr>
        <w:t xml:space="preserve">OK </w:t>
      </w:r>
      <w:r>
        <w:rPr>
          <w:rFonts w:eastAsia="MS Mincho" w:cs="Arial"/>
          <w:szCs w:val="24"/>
          <w:lang w:val="en-US" w:eastAsia="en-GB"/>
        </w:rPr>
        <w:t xml:space="preserve">to support yet another set of resources also relying on BLER, which would </w:t>
      </w:r>
      <w:r w:rsidR="00524027">
        <w:rPr>
          <w:rFonts w:eastAsia="MS Mincho" w:cs="Arial"/>
          <w:szCs w:val="24"/>
          <w:lang w:val="en-US" w:eastAsia="en-GB"/>
        </w:rPr>
        <w:lastRenderedPageBreak/>
        <w:t xml:space="preserve">possibly double the amount of operations claimed to be complex. </w:t>
      </w:r>
      <w:r>
        <w:rPr>
          <w:rFonts w:eastAsia="MS Mincho" w:cs="Arial"/>
          <w:szCs w:val="24"/>
          <w:lang w:val="en-US" w:eastAsia="en-GB"/>
        </w:rPr>
        <w:t xml:space="preserve">Hence, </w:t>
      </w:r>
      <w:r w:rsidR="00524027">
        <w:rPr>
          <w:rFonts w:eastAsia="MS Mincho" w:cs="Arial"/>
          <w:szCs w:val="24"/>
          <w:lang w:val="en-US" w:eastAsia="en-GB"/>
        </w:rPr>
        <w:t xml:space="preserve">in our view, </w:t>
      </w:r>
      <w:r>
        <w:rPr>
          <w:rFonts w:eastAsia="MS Mincho" w:cs="Arial"/>
          <w:szCs w:val="24"/>
          <w:lang w:val="en-US" w:eastAsia="en-GB"/>
        </w:rPr>
        <w:t xml:space="preserve">c/ </w:t>
      </w:r>
      <w:r w:rsidR="00CE46D5">
        <w:rPr>
          <w:rFonts w:eastAsia="MS Mincho" w:cs="Arial"/>
          <w:szCs w:val="24"/>
          <w:lang w:val="en-US" w:eastAsia="en-GB"/>
        </w:rPr>
        <w:t xml:space="preserve">as it is </w:t>
      </w:r>
      <w:r>
        <w:rPr>
          <w:rFonts w:eastAsia="MS Mincho" w:cs="Arial"/>
          <w:szCs w:val="24"/>
          <w:lang w:val="en-US" w:eastAsia="en-GB"/>
        </w:rPr>
        <w:t xml:space="preserve">does not make </w:t>
      </w:r>
      <w:r w:rsidR="00CE46D5">
        <w:rPr>
          <w:rFonts w:eastAsia="MS Mincho" w:cs="Arial"/>
          <w:szCs w:val="24"/>
          <w:lang w:val="en-US" w:eastAsia="en-GB"/>
        </w:rPr>
        <w:t xml:space="preserve">any </w:t>
      </w:r>
      <w:r>
        <w:rPr>
          <w:rFonts w:eastAsia="MS Mincho" w:cs="Arial"/>
          <w:szCs w:val="24"/>
          <w:lang w:val="en-US" w:eastAsia="en-GB"/>
        </w:rPr>
        <w:t>sense</w:t>
      </w:r>
      <w:r w:rsidR="00636581">
        <w:rPr>
          <w:rFonts w:eastAsia="MS Mincho" w:cs="Arial"/>
          <w:szCs w:val="24"/>
          <w:lang w:val="en-US" w:eastAsia="en-GB"/>
        </w:rPr>
        <w:t>.</w:t>
      </w:r>
      <w:r w:rsidR="00CE46D5">
        <w:rPr>
          <w:rFonts w:eastAsia="MS Mincho" w:cs="Arial"/>
          <w:szCs w:val="24"/>
          <w:lang w:val="en-US" w:eastAsia="en-GB"/>
        </w:rPr>
        <w:t xml:space="preserve"> </w:t>
      </w:r>
    </w:p>
    <w:p w14:paraId="4C3BB9EC" w14:textId="34D6D8DF" w:rsidR="003D4A85" w:rsidRDefault="003D4A85" w:rsidP="003D4A85">
      <w:pPr>
        <w:tabs>
          <w:tab w:val="left" w:pos="1622"/>
        </w:tabs>
        <w:spacing w:after="0"/>
        <w:rPr>
          <w:rFonts w:eastAsia="MS Mincho" w:cs="Arial"/>
          <w:szCs w:val="24"/>
          <w:lang w:val="en-US" w:eastAsia="en-GB"/>
        </w:rPr>
      </w:pPr>
    </w:p>
    <w:p w14:paraId="5A15A246" w14:textId="09835621" w:rsidR="003D4A85" w:rsidRDefault="003D4A85" w:rsidP="003D4A85">
      <w:pPr>
        <w:tabs>
          <w:tab w:val="left" w:pos="1622"/>
        </w:tabs>
        <w:spacing w:after="0"/>
        <w:rPr>
          <w:rFonts w:eastAsia="MS Mincho" w:cs="Arial"/>
          <w:szCs w:val="24"/>
          <w:lang w:val="en-US" w:eastAsia="en-GB"/>
        </w:rPr>
      </w:pPr>
      <w:r>
        <w:rPr>
          <w:rFonts w:eastAsia="MS Mincho" w:cs="Arial"/>
          <w:szCs w:val="24"/>
          <w:lang w:val="en-US" w:eastAsia="en-GB"/>
        </w:rPr>
        <w:t xml:space="preserve">Based on our analyses, </w:t>
      </w:r>
      <w:r w:rsidR="00350EB4">
        <w:rPr>
          <w:rFonts w:eastAsia="MS Mincho" w:cs="Arial"/>
          <w:szCs w:val="24"/>
          <w:lang w:val="en-US" w:eastAsia="en-GB"/>
        </w:rPr>
        <w:t xml:space="preserve">either a/ or b/ can make some sense. As a/ can </w:t>
      </w:r>
      <w:r w:rsidR="0034066C">
        <w:rPr>
          <w:rFonts w:eastAsia="MS Mincho" w:cs="Arial"/>
          <w:szCs w:val="24"/>
          <w:lang w:val="en-US" w:eastAsia="en-GB"/>
        </w:rPr>
        <w:t xml:space="preserve">be configured as a special case of b/, in our view b/ seems to be a decent compromise between flexibility and simplicity. Hence, </w:t>
      </w:r>
      <w:r>
        <w:rPr>
          <w:rFonts w:eastAsia="MS Mincho" w:cs="Arial"/>
          <w:szCs w:val="24"/>
          <w:lang w:val="en-US" w:eastAsia="en-GB"/>
        </w:rPr>
        <w:t xml:space="preserve">we suggest RAN2 to </w:t>
      </w:r>
      <w:r w:rsidR="00636581">
        <w:rPr>
          <w:rFonts w:eastAsia="MS Mincho" w:cs="Arial"/>
          <w:szCs w:val="24"/>
          <w:lang w:val="en-US" w:eastAsia="en-GB"/>
        </w:rPr>
        <w:t xml:space="preserve">make </w:t>
      </w:r>
      <w:r w:rsidR="0034066C">
        <w:rPr>
          <w:rFonts w:eastAsia="MS Mincho" w:cs="Arial"/>
          <w:szCs w:val="24"/>
          <w:lang w:val="en-US" w:eastAsia="en-GB"/>
        </w:rPr>
        <w:t xml:space="preserve">b/ </w:t>
      </w:r>
      <w:r w:rsidR="00636581">
        <w:rPr>
          <w:rFonts w:eastAsia="MS Mincho" w:cs="Arial"/>
          <w:szCs w:val="24"/>
          <w:lang w:val="en-US" w:eastAsia="en-GB"/>
        </w:rPr>
        <w:t xml:space="preserve">as its initial assumption </w:t>
      </w:r>
      <w:r w:rsidR="00524027">
        <w:rPr>
          <w:rFonts w:eastAsia="MS Mincho" w:cs="Arial"/>
          <w:szCs w:val="24"/>
          <w:lang w:val="en-US" w:eastAsia="en-GB"/>
        </w:rPr>
        <w:t xml:space="preserve">and </w:t>
      </w:r>
      <w:r w:rsidR="00636581">
        <w:rPr>
          <w:rFonts w:eastAsia="MS Mincho" w:cs="Arial"/>
          <w:szCs w:val="24"/>
          <w:lang w:val="en-US" w:eastAsia="en-GB"/>
        </w:rPr>
        <w:t xml:space="preserve">inform </w:t>
      </w:r>
      <w:r w:rsidR="00524027">
        <w:rPr>
          <w:rFonts w:eastAsia="MS Mincho" w:cs="Arial"/>
          <w:szCs w:val="24"/>
          <w:lang w:val="en-US" w:eastAsia="en-GB"/>
        </w:rPr>
        <w:t>RAN1</w:t>
      </w:r>
      <w:r w:rsidR="00636581">
        <w:rPr>
          <w:rFonts w:eastAsia="MS Mincho" w:cs="Arial"/>
          <w:szCs w:val="24"/>
          <w:lang w:val="en-US" w:eastAsia="en-GB"/>
        </w:rPr>
        <w:t>.</w:t>
      </w:r>
    </w:p>
    <w:p w14:paraId="61C84683" w14:textId="4C15C632" w:rsidR="003D4A85" w:rsidRDefault="003D4A85" w:rsidP="003D4A85">
      <w:pPr>
        <w:tabs>
          <w:tab w:val="left" w:pos="1622"/>
        </w:tabs>
        <w:spacing w:after="0"/>
        <w:rPr>
          <w:rFonts w:eastAsia="MS Mincho" w:cs="Arial"/>
          <w:szCs w:val="24"/>
          <w:lang w:val="en-US" w:eastAsia="en-GB"/>
        </w:rPr>
      </w:pPr>
    </w:p>
    <w:p w14:paraId="666F1229" w14:textId="346D5480" w:rsidR="003D4A85" w:rsidRDefault="003D4A85" w:rsidP="003D4A85">
      <w:pPr>
        <w:pStyle w:val="Proposal"/>
      </w:pPr>
      <w:r>
        <w:t xml:space="preserve">RAN2 assumes that </w:t>
      </w:r>
      <w:r w:rsidR="0034066C">
        <w:t xml:space="preserve">BLM resources are configured as a subset of </w:t>
      </w:r>
      <w:r w:rsidRPr="003D4A85">
        <w:t>RLM</w:t>
      </w:r>
      <w:r>
        <w:t xml:space="preserve"> </w:t>
      </w:r>
      <w:r w:rsidR="0034066C">
        <w:t>resources</w:t>
      </w:r>
      <w:r>
        <w:t>.</w:t>
      </w:r>
    </w:p>
    <w:p w14:paraId="0D6F74B9" w14:textId="77777777" w:rsidR="003D4A85" w:rsidRDefault="003D4A85" w:rsidP="003D4A85">
      <w:pPr>
        <w:pStyle w:val="B1"/>
        <w:ind w:left="0" w:firstLine="0"/>
      </w:pPr>
    </w:p>
    <w:p w14:paraId="07DD8C0A" w14:textId="5B33E493" w:rsidR="003D4A85" w:rsidRDefault="003D4A85" w:rsidP="003D4A85">
      <w:pPr>
        <w:pStyle w:val="B1"/>
        <w:ind w:left="0" w:firstLine="0"/>
      </w:pPr>
      <w:r>
        <w:t>As some of these aspects have to be confirmed by RAN1, it seems reasonable to send them an LS either confirming these assumptions or clarifying why they are not fully correct.</w:t>
      </w:r>
    </w:p>
    <w:p w14:paraId="46AA2817" w14:textId="140F4BF0" w:rsidR="003D4A85" w:rsidRDefault="003D4A85" w:rsidP="0034066C">
      <w:pPr>
        <w:pStyle w:val="Proposal"/>
      </w:pPr>
      <w:r>
        <w:t>Ask RAN1 whether RAN2 can progress the RRC specifications under the assumption</w:t>
      </w:r>
      <w:r w:rsidR="00636581">
        <w:t xml:space="preserve"> that </w:t>
      </w:r>
      <w:r w:rsidR="0034066C">
        <w:t xml:space="preserve">BLM resources are configured as a subset of </w:t>
      </w:r>
      <w:r w:rsidR="0034066C" w:rsidRPr="003D4A85">
        <w:t>RLM</w:t>
      </w:r>
      <w:r w:rsidR="0034066C">
        <w:t xml:space="preserve"> resources.</w:t>
      </w:r>
    </w:p>
    <w:p w14:paraId="4E47F8D4" w14:textId="3401A128" w:rsidR="002677D6" w:rsidRDefault="003D4A85" w:rsidP="003D4A85">
      <w:pPr>
        <w:pStyle w:val="B1"/>
        <w:ind w:left="0" w:firstLine="0"/>
      </w:pPr>
      <w:r>
        <w:t xml:space="preserve">A DRAFT LS has been provided in </w:t>
      </w:r>
      <w:bookmarkStart w:id="3" w:name="_Toc503177666"/>
      <w:r w:rsidR="003621C6" w:rsidRPr="003621C6">
        <w:t>R2-1803341</w:t>
      </w:r>
      <w:r w:rsidR="003621C6">
        <w:t xml:space="preserve"> [2].</w:t>
      </w:r>
      <w:r w:rsidR="003621C6" w:rsidRPr="003621C6">
        <w:tab/>
      </w:r>
    </w:p>
    <w:bookmarkEnd w:id="3"/>
    <w:p w14:paraId="49939C6C" w14:textId="77777777" w:rsidR="00C01F33" w:rsidRPr="00CE0424" w:rsidRDefault="00C01F33" w:rsidP="00CE0424">
      <w:pPr>
        <w:pStyle w:val="Heading1"/>
      </w:pPr>
      <w:r w:rsidRPr="00CE0424">
        <w:t>Conclusion</w:t>
      </w:r>
    </w:p>
    <w:p w14:paraId="3EE4C51C" w14:textId="235C5BD8" w:rsidR="00556C3D" w:rsidRPr="00CE0424" w:rsidRDefault="002139C5" w:rsidP="00556C3D">
      <w:pPr>
        <w:pStyle w:val="BodyText"/>
        <w:rPr>
          <w:b/>
          <w:bCs/>
        </w:rPr>
      </w:pPr>
      <w:bookmarkStart w:id="4" w:name="_Toc485398802"/>
      <w:bookmarkStart w:id="5" w:name="_Toc485417365"/>
      <w:bookmarkStart w:id="6" w:name="_Hlk503177409"/>
      <w:r w:rsidRPr="002139C5">
        <w:t xml:space="preserve">In this contribution, the following </w:t>
      </w:r>
      <w:r w:rsidR="003D4A85">
        <w:t>proposal are made</w:t>
      </w:r>
      <w:r w:rsidRPr="002139C5">
        <w:t>:</w:t>
      </w:r>
      <w:bookmarkEnd w:id="4"/>
      <w:bookmarkEnd w:id="5"/>
      <w:bookmarkEnd w:id="6"/>
      <w:r w:rsidR="00556C3D" w:rsidRPr="00CE0424">
        <w:rPr>
          <w:b/>
          <w:bCs/>
        </w:rPr>
        <w:t xml:space="preserve"> </w:t>
      </w:r>
    </w:p>
    <w:p w14:paraId="23764F2C" w14:textId="4F9936B3" w:rsidR="00636581" w:rsidRDefault="0034066C" w:rsidP="0034066C">
      <w:pPr>
        <w:pStyle w:val="Proposal"/>
        <w:numPr>
          <w:ilvl w:val="0"/>
          <w:numId w:val="10"/>
        </w:numPr>
        <w:tabs>
          <w:tab w:val="clear" w:pos="1304"/>
          <w:tab w:val="num" w:pos="1800"/>
        </w:tabs>
        <w:ind w:left="1710" w:hanging="1710"/>
      </w:pPr>
      <w:r>
        <w:t xml:space="preserve">RAN2 assumes that BLM resources are configured as a subset of </w:t>
      </w:r>
      <w:r w:rsidRPr="003D4A85">
        <w:t>RLM</w:t>
      </w:r>
      <w:r>
        <w:t xml:space="preserve"> resources </w:t>
      </w:r>
    </w:p>
    <w:p w14:paraId="43BCCC2D" w14:textId="140ED760" w:rsidR="0034066C" w:rsidRPr="00636581" w:rsidRDefault="0034066C" w:rsidP="0034066C">
      <w:pPr>
        <w:pStyle w:val="Proposal"/>
        <w:numPr>
          <w:ilvl w:val="0"/>
          <w:numId w:val="10"/>
        </w:numPr>
        <w:tabs>
          <w:tab w:val="clear" w:pos="1304"/>
          <w:tab w:val="num" w:pos="1800"/>
        </w:tabs>
        <w:ind w:left="1710" w:hanging="1710"/>
      </w:pPr>
      <w:r>
        <w:t xml:space="preserve">Ask RAN1 whether RAN2 can progress the RRC specifications under the assumption that BLM resources are configured as a subset of </w:t>
      </w:r>
      <w:r w:rsidRPr="003D4A85">
        <w:t>RLM</w:t>
      </w:r>
      <w:r>
        <w:t xml:space="preserve"> resources.</w:t>
      </w:r>
    </w:p>
    <w:p w14:paraId="766B3C48" w14:textId="77777777" w:rsidR="003B0A00" w:rsidRPr="00CE0424" w:rsidRDefault="003B0A00" w:rsidP="003B0A00">
      <w:pPr>
        <w:pStyle w:val="Heading1"/>
      </w:pPr>
      <w:r w:rsidRPr="00CE0424">
        <w:t>References</w:t>
      </w:r>
    </w:p>
    <w:p w14:paraId="4AF9577C" w14:textId="623CF959" w:rsidR="003B0A00" w:rsidRPr="00DC2875" w:rsidRDefault="00AB01C1" w:rsidP="00AB01C1">
      <w:pPr>
        <w:pStyle w:val="Reference"/>
        <w:rPr>
          <w:lang w:val="en-US"/>
        </w:rPr>
      </w:pPr>
      <w:r w:rsidRPr="00AB01C1">
        <w:rPr>
          <w:lang w:val="en-US"/>
        </w:rPr>
        <w:t>R2-1803340</w:t>
      </w:r>
      <w:r w:rsidR="003B0A00">
        <w:rPr>
          <w:lang w:val="en-US"/>
        </w:rPr>
        <w:t xml:space="preserve">, </w:t>
      </w:r>
      <w:r w:rsidR="003B0A00" w:rsidRPr="00E953F0">
        <w:rPr>
          <w:lang w:val="en-US"/>
        </w:rPr>
        <w:t>TP on RLM and beam failure monitoring corrections</w:t>
      </w:r>
      <w:r w:rsidR="003B0A00">
        <w:rPr>
          <w:lang w:val="en-US"/>
        </w:rPr>
        <w:t xml:space="preserve">, Ericsson, </w:t>
      </w:r>
      <w:r w:rsidR="003B0A00" w:rsidRPr="002355C9">
        <w:rPr>
          <w:rFonts w:cs="Arial"/>
          <w:lang w:val="en-US"/>
        </w:rPr>
        <w:t>3GPP TSG-RAN WG2</w:t>
      </w:r>
      <w:r w:rsidR="003B0A00">
        <w:rPr>
          <w:rFonts w:cs="Arial"/>
          <w:lang w:val="en-US"/>
        </w:rPr>
        <w:t>#101, Athens</w:t>
      </w:r>
      <w:r w:rsidR="003B0A00" w:rsidRPr="002355C9">
        <w:rPr>
          <w:rFonts w:cs="Arial"/>
          <w:lang w:val="en-US"/>
        </w:rPr>
        <w:t xml:space="preserve">, </w:t>
      </w:r>
      <w:r w:rsidR="003B0A00">
        <w:rPr>
          <w:rFonts w:cs="Arial"/>
          <w:lang w:val="en-US"/>
        </w:rPr>
        <w:t>Greece</w:t>
      </w:r>
      <w:r w:rsidR="003B0A00" w:rsidRPr="002355C9">
        <w:rPr>
          <w:rFonts w:cs="Arial"/>
          <w:lang w:val="en-US"/>
        </w:rPr>
        <w:t xml:space="preserve">, </w:t>
      </w:r>
      <w:r w:rsidR="003B0A00">
        <w:rPr>
          <w:rFonts w:cs="Arial"/>
          <w:lang w:val="en-US"/>
        </w:rPr>
        <w:t>26</w:t>
      </w:r>
      <w:r w:rsidR="003B0A00" w:rsidRPr="002A55D8">
        <w:rPr>
          <w:rFonts w:cs="Arial"/>
          <w:vertAlign w:val="superscript"/>
          <w:lang w:val="en-US"/>
        </w:rPr>
        <w:t>th</w:t>
      </w:r>
      <w:r w:rsidR="003B0A00" w:rsidRPr="002355C9">
        <w:rPr>
          <w:rFonts w:cs="Arial"/>
          <w:lang w:val="en-US"/>
        </w:rPr>
        <w:t xml:space="preserve">– </w:t>
      </w:r>
      <w:r w:rsidR="003B0A00">
        <w:rPr>
          <w:rFonts w:cs="Arial"/>
          <w:lang w:val="en-US"/>
        </w:rPr>
        <w:t>2</w:t>
      </w:r>
      <w:r w:rsidR="003B0A00" w:rsidRPr="002A55D8">
        <w:rPr>
          <w:rFonts w:cs="Arial"/>
          <w:vertAlign w:val="superscript"/>
          <w:lang w:val="en-US"/>
        </w:rPr>
        <w:t>nd</w:t>
      </w:r>
      <w:r w:rsidR="003B0A00">
        <w:rPr>
          <w:rFonts w:cs="Arial"/>
          <w:lang w:val="en-US"/>
        </w:rPr>
        <w:t xml:space="preserve"> March </w:t>
      </w:r>
      <w:r w:rsidR="003B0A00" w:rsidRPr="002355C9">
        <w:rPr>
          <w:rFonts w:cs="Arial"/>
          <w:lang w:val="en-US"/>
        </w:rPr>
        <w:t>2018</w:t>
      </w:r>
      <w:r w:rsidR="003B0A00">
        <w:rPr>
          <w:rFonts w:cs="Arial"/>
          <w:lang w:val="en-US"/>
        </w:rPr>
        <w:t>.</w:t>
      </w:r>
    </w:p>
    <w:p w14:paraId="5836AACA" w14:textId="6BF77C6F" w:rsidR="00DC2875" w:rsidRPr="003621C6" w:rsidRDefault="003621C6" w:rsidP="003621C6">
      <w:pPr>
        <w:pStyle w:val="Reference"/>
        <w:rPr>
          <w:lang w:val="en-US"/>
        </w:rPr>
      </w:pPr>
      <w:r w:rsidRPr="003621C6">
        <w:rPr>
          <w:lang w:val="en-US"/>
        </w:rPr>
        <w:t>R2-1803341</w:t>
      </w:r>
      <w:r w:rsidR="00DC2875">
        <w:rPr>
          <w:lang w:val="en-US"/>
        </w:rPr>
        <w:t xml:space="preserve">, </w:t>
      </w:r>
      <w:r w:rsidRPr="003621C6">
        <w:rPr>
          <w:lang w:val="en-US"/>
        </w:rPr>
        <w:t>DRAFT LS to RAN1 on RLM and beam failure monitoring corrections</w:t>
      </w:r>
      <w:r w:rsidR="00DC2875">
        <w:rPr>
          <w:lang w:val="en-US"/>
        </w:rPr>
        <w:t xml:space="preserve">, Ericsson, </w:t>
      </w:r>
      <w:r w:rsidR="00DC2875" w:rsidRPr="002355C9">
        <w:rPr>
          <w:rFonts w:cs="Arial"/>
          <w:lang w:val="en-US"/>
        </w:rPr>
        <w:t>3GPP TSG-RAN WG2</w:t>
      </w:r>
      <w:r w:rsidR="00DC2875">
        <w:rPr>
          <w:rFonts w:cs="Arial"/>
          <w:lang w:val="en-US"/>
        </w:rPr>
        <w:t>#101, Athens</w:t>
      </w:r>
      <w:r w:rsidR="00DC2875" w:rsidRPr="002355C9">
        <w:rPr>
          <w:rFonts w:cs="Arial"/>
          <w:lang w:val="en-US"/>
        </w:rPr>
        <w:t xml:space="preserve">, </w:t>
      </w:r>
      <w:r w:rsidR="00DC2875">
        <w:rPr>
          <w:rFonts w:cs="Arial"/>
          <w:lang w:val="en-US"/>
        </w:rPr>
        <w:t>Greece</w:t>
      </w:r>
      <w:r w:rsidR="00DC2875" w:rsidRPr="002355C9">
        <w:rPr>
          <w:rFonts w:cs="Arial"/>
          <w:lang w:val="en-US"/>
        </w:rPr>
        <w:t xml:space="preserve">, </w:t>
      </w:r>
      <w:r w:rsidR="00DC2875">
        <w:rPr>
          <w:rFonts w:cs="Arial"/>
          <w:lang w:val="en-US"/>
        </w:rPr>
        <w:t>26</w:t>
      </w:r>
      <w:r w:rsidR="00DC2875" w:rsidRPr="002A55D8">
        <w:rPr>
          <w:rFonts w:cs="Arial"/>
          <w:vertAlign w:val="superscript"/>
          <w:lang w:val="en-US"/>
        </w:rPr>
        <w:t>th</w:t>
      </w:r>
      <w:r w:rsidR="00DC2875" w:rsidRPr="002355C9">
        <w:rPr>
          <w:rFonts w:cs="Arial"/>
          <w:lang w:val="en-US"/>
        </w:rPr>
        <w:t xml:space="preserve">– </w:t>
      </w:r>
      <w:r w:rsidR="00DC2875">
        <w:rPr>
          <w:rFonts w:cs="Arial"/>
          <w:lang w:val="en-US"/>
        </w:rPr>
        <w:t>2</w:t>
      </w:r>
      <w:r w:rsidR="00DC2875" w:rsidRPr="002A55D8">
        <w:rPr>
          <w:rFonts w:cs="Arial"/>
          <w:vertAlign w:val="superscript"/>
          <w:lang w:val="en-US"/>
        </w:rPr>
        <w:t>nd</w:t>
      </w:r>
      <w:r w:rsidR="00DC2875">
        <w:rPr>
          <w:rFonts w:cs="Arial"/>
          <w:lang w:val="en-US"/>
        </w:rPr>
        <w:t xml:space="preserve"> March </w:t>
      </w:r>
      <w:r w:rsidR="00DC2875" w:rsidRPr="002355C9">
        <w:rPr>
          <w:rFonts w:cs="Arial"/>
          <w:lang w:val="en-US"/>
        </w:rPr>
        <w:t>2018</w:t>
      </w:r>
      <w:r w:rsidR="00DC2875">
        <w:rPr>
          <w:rFonts w:cs="Arial"/>
          <w:lang w:val="en-US"/>
        </w:rPr>
        <w:t>.</w:t>
      </w:r>
    </w:p>
    <w:p w14:paraId="63ED2944" w14:textId="77777777" w:rsidR="003B0A00" w:rsidRPr="002355C9" w:rsidRDefault="003B0A00" w:rsidP="003D4A85">
      <w:pPr>
        <w:pStyle w:val="Reference"/>
        <w:numPr>
          <w:ilvl w:val="0"/>
          <w:numId w:val="0"/>
        </w:numPr>
        <w:ind w:left="567"/>
        <w:rPr>
          <w:lang w:val="en-US"/>
        </w:rPr>
      </w:pPr>
    </w:p>
    <w:sectPr w:rsidR="003B0A00" w:rsidRPr="002355C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234C6" w14:textId="77777777" w:rsidR="00317F83" w:rsidRDefault="00317F83">
      <w:r>
        <w:separator/>
      </w:r>
    </w:p>
  </w:endnote>
  <w:endnote w:type="continuationSeparator" w:id="0">
    <w:p w14:paraId="492AB736" w14:textId="77777777" w:rsidR="00317F83" w:rsidRDefault="0031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7AD06" w14:textId="1F6BE7BF" w:rsidR="0073324E" w:rsidRDefault="007332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401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401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4CB2A" w14:textId="77777777" w:rsidR="00317F83" w:rsidRDefault="00317F83">
      <w:r>
        <w:separator/>
      </w:r>
    </w:p>
  </w:footnote>
  <w:footnote w:type="continuationSeparator" w:id="0">
    <w:p w14:paraId="5E7B0FB0" w14:textId="77777777" w:rsidR="00317F83" w:rsidRDefault="00317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36C11" w14:textId="77777777" w:rsidR="0073324E" w:rsidRDefault="007332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pStyle w:val="berschrift2Head2A2"/>
      <w:lvlText w:val=""/>
      <w:lvlJc w:val="left"/>
      <w:pPr>
        <w:tabs>
          <w:tab w:val="num" w:pos="720"/>
        </w:tabs>
        <w:ind w:left="720" w:hanging="360"/>
      </w:pPr>
      <w:rPr>
        <w:rFonts w:ascii="Symbol" w:eastAsia="MS Mincho" w:hAnsi="Symbol" w:cs="Times New Roman" w:hint="default"/>
      </w:rPr>
    </w:lvl>
    <w:lvl w:ilvl="1" w:tplc="04090003">
      <w:start w:val="1"/>
      <w:numFmt w:val="bullet"/>
      <w:pStyle w:val="berschrift3h3H3Underrubrik2"/>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B8605E"/>
    <w:multiLevelType w:val="hybridMultilevel"/>
    <w:tmpl w:val="18D4E798"/>
    <w:lvl w:ilvl="0" w:tplc="7410E5C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5"/>
    <w:lvlOverride w:ilvl="0">
      <w:startOverride w:val="1"/>
    </w:lvlOverride>
  </w:num>
  <w:num w:numId="11">
    <w:abstractNumId w:val="1"/>
  </w:num>
  <w:num w:numId="12">
    <w:abstractNumId w:val="11"/>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3C0"/>
    <w:rsid w:val="000039F4"/>
    <w:rsid w:val="00006446"/>
    <w:rsid w:val="00006896"/>
    <w:rsid w:val="00006E55"/>
    <w:rsid w:val="00007CDC"/>
    <w:rsid w:val="00011B28"/>
    <w:rsid w:val="00015D15"/>
    <w:rsid w:val="00017239"/>
    <w:rsid w:val="0002564D"/>
    <w:rsid w:val="00025ECA"/>
    <w:rsid w:val="00031FC4"/>
    <w:rsid w:val="000325B8"/>
    <w:rsid w:val="00034C15"/>
    <w:rsid w:val="00035260"/>
    <w:rsid w:val="00036BA1"/>
    <w:rsid w:val="000422E2"/>
    <w:rsid w:val="00042F22"/>
    <w:rsid w:val="000444EF"/>
    <w:rsid w:val="00052A07"/>
    <w:rsid w:val="000534E3"/>
    <w:rsid w:val="0005606A"/>
    <w:rsid w:val="0005607E"/>
    <w:rsid w:val="00057117"/>
    <w:rsid w:val="000616E7"/>
    <w:rsid w:val="0006487E"/>
    <w:rsid w:val="00065E1A"/>
    <w:rsid w:val="00077E5F"/>
    <w:rsid w:val="0008036A"/>
    <w:rsid w:val="00081AE6"/>
    <w:rsid w:val="000839B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389"/>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33F"/>
    <w:rsid w:val="00126B4A"/>
    <w:rsid w:val="00132FD0"/>
    <w:rsid w:val="001344C0"/>
    <w:rsid w:val="001346FA"/>
    <w:rsid w:val="00135252"/>
    <w:rsid w:val="00137AB5"/>
    <w:rsid w:val="00137F0B"/>
    <w:rsid w:val="00144562"/>
    <w:rsid w:val="001454D1"/>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A7CD8"/>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9C5"/>
    <w:rsid w:val="00214DA8"/>
    <w:rsid w:val="00215423"/>
    <w:rsid w:val="002158FA"/>
    <w:rsid w:val="00220600"/>
    <w:rsid w:val="002224DB"/>
    <w:rsid w:val="00223FCB"/>
    <w:rsid w:val="002252C3"/>
    <w:rsid w:val="00225981"/>
    <w:rsid w:val="00225C54"/>
    <w:rsid w:val="002304F9"/>
    <w:rsid w:val="00230765"/>
    <w:rsid w:val="002319E4"/>
    <w:rsid w:val="002355C9"/>
    <w:rsid w:val="00235632"/>
    <w:rsid w:val="00235872"/>
    <w:rsid w:val="00241559"/>
    <w:rsid w:val="002435B3"/>
    <w:rsid w:val="002458EB"/>
    <w:rsid w:val="002500C8"/>
    <w:rsid w:val="002559E2"/>
    <w:rsid w:val="00256492"/>
    <w:rsid w:val="00257543"/>
    <w:rsid w:val="002617E7"/>
    <w:rsid w:val="00264228"/>
    <w:rsid w:val="00264334"/>
    <w:rsid w:val="0026473E"/>
    <w:rsid w:val="00266214"/>
    <w:rsid w:val="002677D6"/>
    <w:rsid w:val="00267C83"/>
    <w:rsid w:val="0027144F"/>
    <w:rsid w:val="00271F3A"/>
    <w:rsid w:val="00273278"/>
    <w:rsid w:val="002737F4"/>
    <w:rsid w:val="002766F1"/>
    <w:rsid w:val="002805F5"/>
    <w:rsid w:val="00280751"/>
    <w:rsid w:val="00280DD1"/>
    <w:rsid w:val="0028280A"/>
    <w:rsid w:val="00286ACD"/>
    <w:rsid w:val="00287838"/>
    <w:rsid w:val="002907B5"/>
    <w:rsid w:val="00292EB7"/>
    <w:rsid w:val="00296227"/>
    <w:rsid w:val="00296F44"/>
    <w:rsid w:val="0029777D"/>
    <w:rsid w:val="002A055E"/>
    <w:rsid w:val="002A1957"/>
    <w:rsid w:val="002A1D4E"/>
    <w:rsid w:val="002A2869"/>
    <w:rsid w:val="002B24D6"/>
    <w:rsid w:val="002B7F30"/>
    <w:rsid w:val="002C10E9"/>
    <w:rsid w:val="002C41E6"/>
    <w:rsid w:val="002D071A"/>
    <w:rsid w:val="002D2744"/>
    <w:rsid w:val="002D34B2"/>
    <w:rsid w:val="002D7637"/>
    <w:rsid w:val="002E17F2"/>
    <w:rsid w:val="002E7CAE"/>
    <w:rsid w:val="002F2771"/>
    <w:rsid w:val="002F37A9"/>
    <w:rsid w:val="002F51AB"/>
    <w:rsid w:val="002F5794"/>
    <w:rsid w:val="00301CE6"/>
    <w:rsid w:val="0030256B"/>
    <w:rsid w:val="0030501F"/>
    <w:rsid w:val="00307220"/>
    <w:rsid w:val="00307BA1"/>
    <w:rsid w:val="00311702"/>
    <w:rsid w:val="00311E82"/>
    <w:rsid w:val="00313FD6"/>
    <w:rsid w:val="003143BD"/>
    <w:rsid w:val="00317F83"/>
    <w:rsid w:val="003203ED"/>
    <w:rsid w:val="00322C9F"/>
    <w:rsid w:val="00324D23"/>
    <w:rsid w:val="0033044E"/>
    <w:rsid w:val="00331751"/>
    <w:rsid w:val="00334579"/>
    <w:rsid w:val="00335858"/>
    <w:rsid w:val="00336BDA"/>
    <w:rsid w:val="00340094"/>
    <w:rsid w:val="0034066C"/>
    <w:rsid w:val="00342BD7"/>
    <w:rsid w:val="00343A07"/>
    <w:rsid w:val="00346DB5"/>
    <w:rsid w:val="003477B1"/>
    <w:rsid w:val="00350EB4"/>
    <w:rsid w:val="0035491B"/>
    <w:rsid w:val="00357380"/>
    <w:rsid w:val="003602D9"/>
    <w:rsid w:val="003604CE"/>
    <w:rsid w:val="003621C6"/>
    <w:rsid w:val="00370E47"/>
    <w:rsid w:val="003742AC"/>
    <w:rsid w:val="00377CE1"/>
    <w:rsid w:val="00385BF0"/>
    <w:rsid w:val="003939FF"/>
    <w:rsid w:val="003943EE"/>
    <w:rsid w:val="003A2223"/>
    <w:rsid w:val="003A2A0F"/>
    <w:rsid w:val="003A45A1"/>
    <w:rsid w:val="003A5B0A"/>
    <w:rsid w:val="003A6BAC"/>
    <w:rsid w:val="003A7EF3"/>
    <w:rsid w:val="003B0A00"/>
    <w:rsid w:val="003B159C"/>
    <w:rsid w:val="003B369F"/>
    <w:rsid w:val="003B36A3"/>
    <w:rsid w:val="003B460B"/>
    <w:rsid w:val="003B7FE5"/>
    <w:rsid w:val="003C11C8"/>
    <w:rsid w:val="003C2702"/>
    <w:rsid w:val="003C7806"/>
    <w:rsid w:val="003D109F"/>
    <w:rsid w:val="003D2478"/>
    <w:rsid w:val="003D3C45"/>
    <w:rsid w:val="003D4A85"/>
    <w:rsid w:val="003D5B1F"/>
    <w:rsid w:val="003E15FA"/>
    <w:rsid w:val="003E55E4"/>
    <w:rsid w:val="003E74E3"/>
    <w:rsid w:val="003F05C7"/>
    <w:rsid w:val="003F2CD4"/>
    <w:rsid w:val="003F4427"/>
    <w:rsid w:val="003F5E35"/>
    <w:rsid w:val="003F6BBE"/>
    <w:rsid w:val="004000E8"/>
    <w:rsid w:val="004027B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387"/>
    <w:rsid w:val="00444F56"/>
    <w:rsid w:val="00445CE3"/>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0FA5"/>
    <w:rsid w:val="004B7C0C"/>
    <w:rsid w:val="004C2DB9"/>
    <w:rsid w:val="004C359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BAA"/>
    <w:rsid w:val="005153A7"/>
    <w:rsid w:val="00520828"/>
    <w:rsid w:val="005219CF"/>
    <w:rsid w:val="00524027"/>
    <w:rsid w:val="00534B59"/>
    <w:rsid w:val="00536759"/>
    <w:rsid w:val="00537C62"/>
    <w:rsid w:val="00546970"/>
    <w:rsid w:val="00554E19"/>
    <w:rsid w:val="00556C3D"/>
    <w:rsid w:val="0056121F"/>
    <w:rsid w:val="005658F2"/>
    <w:rsid w:val="0057243C"/>
    <w:rsid w:val="00572505"/>
    <w:rsid w:val="00582809"/>
    <w:rsid w:val="0058798C"/>
    <w:rsid w:val="005900FA"/>
    <w:rsid w:val="005924AB"/>
    <w:rsid w:val="005935A4"/>
    <w:rsid w:val="005948C2"/>
    <w:rsid w:val="00595DCA"/>
    <w:rsid w:val="0059779B"/>
    <w:rsid w:val="005A209A"/>
    <w:rsid w:val="005A662D"/>
    <w:rsid w:val="005B35D7"/>
    <w:rsid w:val="005B392A"/>
    <w:rsid w:val="005B3AA3"/>
    <w:rsid w:val="005B591A"/>
    <w:rsid w:val="005B6F83"/>
    <w:rsid w:val="005C47AD"/>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393D"/>
    <w:rsid w:val="00630001"/>
    <w:rsid w:val="006311B3"/>
    <w:rsid w:val="00631CA0"/>
    <w:rsid w:val="0063284C"/>
    <w:rsid w:val="00636398"/>
    <w:rsid w:val="00636581"/>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17D"/>
    <w:rsid w:val="00670922"/>
    <w:rsid w:val="00670BE1"/>
    <w:rsid w:val="0067218F"/>
    <w:rsid w:val="00673D4A"/>
    <w:rsid w:val="006741F2"/>
    <w:rsid w:val="00674CC3"/>
    <w:rsid w:val="00675C72"/>
    <w:rsid w:val="006771F9"/>
    <w:rsid w:val="006776D7"/>
    <w:rsid w:val="00681003"/>
    <w:rsid w:val="006817C9"/>
    <w:rsid w:val="00682E69"/>
    <w:rsid w:val="00683ECE"/>
    <w:rsid w:val="00695FC2"/>
    <w:rsid w:val="00696949"/>
    <w:rsid w:val="00696B4B"/>
    <w:rsid w:val="00697052"/>
    <w:rsid w:val="006A46FB"/>
    <w:rsid w:val="006A5E28"/>
    <w:rsid w:val="006A697B"/>
    <w:rsid w:val="006A7AFF"/>
    <w:rsid w:val="006B1816"/>
    <w:rsid w:val="006B2099"/>
    <w:rsid w:val="006B3853"/>
    <w:rsid w:val="006B50CF"/>
    <w:rsid w:val="006B5F7B"/>
    <w:rsid w:val="006C03B8"/>
    <w:rsid w:val="006C5EC9"/>
    <w:rsid w:val="006C6059"/>
    <w:rsid w:val="006C7522"/>
    <w:rsid w:val="006D660A"/>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D7C"/>
    <w:rsid w:val="00717E7C"/>
    <w:rsid w:val="00726EA6"/>
    <w:rsid w:val="00727208"/>
    <w:rsid w:val="00727680"/>
    <w:rsid w:val="0073324E"/>
    <w:rsid w:val="007348B1"/>
    <w:rsid w:val="007362A6"/>
    <w:rsid w:val="00736D7D"/>
    <w:rsid w:val="00740E58"/>
    <w:rsid w:val="007445A0"/>
    <w:rsid w:val="0074524B"/>
    <w:rsid w:val="00747D8B"/>
    <w:rsid w:val="00750A03"/>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0F0"/>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887"/>
    <w:rsid w:val="007E7091"/>
    <w:rsid w:val="00803FAE"/>
    <w:rsid w:val="0080605F"/>
    <w:rsid w:val="00807786"/>
    <w:rsid w:val="00811FCB"/>
    <w:rsid w:val="008158D6"/>
    <w:rsid w:val="00817196"/>
    <w:rsid w:val="0082157A"/>
    <w:rsid w:val="008235DB"/>
    <w:rsid w:val="00824AB4"/>
    <w:rsid w:val="00825C42"/>
    <w:rsid w:val="00825D25"/>
    <w:rsid w:val="00827D6F"/>
    <w:rsid w:val="008376AC"/>
    <w:rsid w:val="008444E8"/>
    <w:rsid w:val="00844E80"/>
    <w:rsid w:val="00846FE7"/>
    <w:rsid w:val="00853C67"/>
    <w:rsid w:val="00854F97"/>
    <w:rsid w:val="00855996"/>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3160"/>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9B3"/>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5BC"/>
    <w:rsid w:val="009D703C"/>
    <w:rsid w:val="009D718F"/>
    <w:rsid w:val="009E068F"/>
    <w:rsid w:val="009E07AA"/>
    <w:rsid w:val="009E14E0"/>
    <w:rsid w:val="009E35DB"/>
    <w:rsid w:val="009E47A3"/>
    <w:rsid w:val="009F08F3"/>
    <w:rsid w:val="009F344F"/>
    <w:rsid w:val="009F4941"/>
    <w:rsid w:val="00A003C3"/>
    <w:rsid w:val="00A048A8"/>
    <w:rsid w:val="00A04C48"/>
    <w:rsid w:val="00A04F49"/>
    <w:rsid w:val="00A13E54"/>
    <w:rsid w:val="00A1602E"/>
    <w:rsid w:val="00A17F63"/>
    <w:rsid w:val="00A2052C"/>
    <w:rsid w:val="00A2193B"/>
    <w:rsid w:val="00A2351A"/>
    <w:rsid w:val="00A264A9"/>
    <w:rsid w:val="00A27785"/>
    <w:rsid w:val="00A30187"/>
    <w:rsid w:val="00A3448A"/>
    <w:rsid w:val="00A346FC"/>
    <w:rsid w:val="00A36297"/>
    <w:rsid w:val="00A41E2B"/>
    <w:rsid w:val="00A45B74"/>
    <w:rsid w:val="00A5040F"/>
    <w:rsid w:val="00A52E1D"/>
    <w:rsid w:val="00A55227"/>
    <w:rsid w:val="00A554A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1C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5E1D"/>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AAF"/>
    <w:rsid w:val="00B81A6C"/>
    <w:rsid w:val="00B82974"/>
    <w:rsid w:val="00B85DE5"/>
    <w:rsid w:val="00B90F73"/>
    <w:rsid w:val="00B93B59"/>
    <w:rsid w:val="00B9406A"/>
    <w:rsid w:val="00BA2280"/>
    <w:rsid w:val="00BA2A08"/>
    <w:rsid w:val="00BA56D2"/>
    <w:rsid w:val="00BA76E0"/>
    <w:rsid w:val="00BB2A25"/>
    <w:rsid w:val="00BB51E9"/>
    <w:rsid w:val="00BC0209"/>
    <w:rsid w:val="00BC0FDC"/>
    <w:rsid w:val="00BC3053"/>
    <w:rsid w:val="00BC4D2E"/>
    <w:rsid w:val="00BD48AC"/>
    <w:rsid w:val="00BD5F1A"/>
    <w:rsid w:val="00BE1234"/>
    <w:rsid w:val="00BE2FA6"/>
    <w:rsid w:val="00BE333F"/>
    <w:rsid w:val="00BE7406"/>
    <w:rsid w:val="00BE7603"/>
    <w:rsid w:val="00BF0CE6"/>
    <w:rsid w:val="00BF3279"/>
    <w:rsid w:val="00BF74BC"/>
    <w:rsid w:val="00BF74C7"/>
    <w:rsid w:val="00C015F1"/>
    <w:rsid w:val="00C01F33"/>
    <w:rsid w:val="00C02CC6"/>
    <w:rsid w:val="00C040F7"/>
    <w:rsid w:val="00C041B0"/>
    <w:rsid w:val="00C044AB"/>
    <w:rsid w:val="00C05706"/>
    <w:rsid w:val="00C07377"/>
    <w:rsid w:val="00C07F9C"/>
    <w:rsid w:val="00C10478"/>
    <w:rsid w:val="00C10D04"/>
    <w:rsid w:val="00C12107"/>
    <w:rsid w:val="00C14D4B"/>
    <w:rsid w:val="00C154BB"/>
    <w:rsid w:val="00C24345"/>
    <w:rsid w:val="00C279B5"/>
    <w:rsid w:val="00C27C45"/>
    <w:rsid w:val="00C362E3"/>
    <w:rsid w:val="00C3719D"/>
    <w:rsid w:val="00C45796"/>
    <w:rsid w:val="00C54701"/>
    <w:rsid w:val="00C54995"/>
    <w:rsid w:val="00C54D41"/>
    <w:rsid w:val="00C60783"/>
    <w:rsid w:val="00C64672"/>
    <w:rsid w:val="00C70697"/>
    <w:rsid w:val="00C72EF4"/>
    <w:rsid w:val="00C75D2F"/>
    <w:rsid w:val="00C75D45"/>
    <w:rsid w:val="00C767BE"/>
    <w:rsid w:val="00C76E3C"/>
    <w:rsid w:val="00C81568"/>
    <w:rsid w:val="00C82E22"/>
    <w:rsid w:val="00C8746F"/>
    <w:rsid w:val="00C9027A"/>
    <w:rsid w:val="00C9068E"/>
    <w:rsid w:val="00C93C4B"/>
    <w:rsid w:val="00C944AB"/>
    <w:rsid w:val="00C95B40"/>
    <w:rsid w:val="00CA1ED8"/>
    <w:rsid w:val="00CB1F63"/>
    <w:rsid w:val="00CB7170"/>
    <w:rsid w:val="00CB758D"/>
    <w:rsid w:val="00CC040E"/>
    <w:rsid w:val="00CC111F"/>
    <w:rsid w:val="00CC2011"/>
    <w:rsid w:val="00CC3EA0"/>
    <w:rsid w:val="00CC7B45"/>
    <w:rsid w:val="00CD1188"/>
    <w:rsid w:val="00CD2ED1"/>
    <w:rsid w:val="00CD337B"/>
    <w:rsid w:val="00CE0424"/>
    <w:rsid w:val="00CE46D5"/>
    <w:rsid w:val="00CE7561"/>
    <w:rsid w:val="00CF1354"/>
    <w:rsid w:val="00CF28C7"/>
    <w:rsid w:val="00CF3B1F"/>
    <w:rsid w:val="00CF3BF6"/>
    <w:rsid w:val="00CF625B"/>
    <w:rsid w:val="00CF687E"/>
    <w:rsid w:val="00CF722D"/>
    <w:rsid w:val="00D0349B"/>
    <w:rsid w:val="00D10249"/>
    <w:rsid w:val="00D10963"/>
    <w:rsid w:val="00D115C3"/>
    <w:rsid w:val="00D11897"/>
    <w:rsid w:val="00D13135"/>
    <w:rsid w:val="00D13E4E"/>
    <w:rsid w:val="00D239A7"/>
    <w:rsid w:val="00D23F47"/>
    <w:rsid w:val="00D36E71"/>
    <w:rsid w:val="00D37D87"/>
    <w:rsid w:val="00D37E2D"/>
    <w:rsid w:val="00D40B33"/>
    <w:rsid w:val="00D4318F"/>
    <w:rsid w:val="00D438BF"/>
    <w:rsid w:val="00D440F8"/>
    <w:rsid w:val="00D5038B"/>
    <w:rsid w:val="00D50F97"/>
    <w:rsid w:val="00D546FF"/>
    <w:rsid w:val="00D5499B"/>
    <w:rsid w:val="00D55AD5"/>
    <w:rsid w:val="00D576CA"/>
    <w:rsid w:val="00D61AF5"/>
    <w:rsid w:val="00D632C3"/>
    <w:rsid w:val="00D652B5"/>
    <w:rsid w:val="00D66155"/>
    <w:rsid w:val="00D708B0"/>
    <w:rsid w:val="00D77B1D"/>
    <w:rsid w:val="00D8021F"/>
    <w:rsid w:val="00D80383"/>
    <w:rsid w:val="00D823C6"/>
    <w:rsid w:val="00D83CDB"/>
    <w:rsid w:val="00D84BC8"/>
    <w:rsid w:val="00D86CA3"/>
    <w:rsid w:val="00D871CE"/>
    <w:rsid w:val="00D9030D"/>
    <w:rsid w:val="00D90569"/>
    <w:rsid w:val="00D9196D"/>
    <w:rsid w:val="00D92982"/>
    <w:rsid w:val="00D9578F"/>
    <w:rsid w:val="00D95B83"/>
    <w:rsid w:val="00D95DFD"/>
    <w:rsid w:val="00DA305E"/>
    <w:rsid w:val="00DA5417"/>
    <w:rsid w:val="00DA56E8"/>
    <w:rsid w:val="00DB0A9F"/>
    <w:rsid w:val="00DB377D"/>
    <w:rsid w:val="00DB37B6"/>
    <w:rsid w:val="00DC2875"/>
    <w:rsid w:val="00DC2D36"/>
    <w:rsid w:val="00DC53EF"/>
    <w:rsid w:val="00DC782B"/>
    <w:rsid w:val="00DD5D89"/>
    <w:rsid w:val="00DD6965"/>
    <w:rsid w:val="00DE5608"/>
    <w:rsid w:val="00DE58D0"/>
    <w:rsid w:val="00DE654F"/>
    <w:rsid w:val="00DF0B6E"/>
    <w:rsid w:val="00DF15E0"/>
    <w:rsid w:val="00DF37A0"/>
    <w:rsid w:val="00E110E7"/>
    <w:rsid w:val="00E11B20"/>
    <w:rsid w:val="00E176FD"/>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17D"/>
    <w:rsid w:val="00E85928"/>
    <w:rsid w:val="00E876AD"/>
    <w:rsid w:val="00E87822"/>
    <w:rsid w:val="00E90395"/>
    <w:rsid w:val="00E90E49"/>
    <w:rsid w:val="00E917F9"/>
    <w:rsid w:val="00E9291C"/>
    <w:rsid w:val="00E93FFE"/>
    <w:rsid w:val="00E94F8A"/>
    <w:rsid w:val="00E968D9"/>
    <w:rsid w:val="00EA5826"/>
    <w:rsid w:val="00EA6A26"/>
    <w:rsid w:val="00EA7760"/>
    <w:rsid w:val="00EA7A41"/>
    <w:rsid w:val="00EB077B"/>
    <w:rsid w:val="00EB44C6"/>
    <w:rsid w:val="00EB4EA2"/>
    <w:rsid w:val="00EC0D91"/>
    <w:rsid w:val="00EC2591"/>
    <w:rsid w:val="00EC27C6"/>
    <w:rsid w:val="00EC4207"/>
    <w:rsid w:val="00EC5653"/>
    <w:rsid w:val="00EC71CE"/>
    <w:rsid w:val="00ED1006"/>
    <w:rsid w:val="00EE1ED7"/>
    <w:rsid w:val="00EE3A52"/>
    <w:rsid w:val="00EF18FE"/>
    <w:rsid w:val="00EF5787"/>
    <w:rsid w:val="00EF60D0"/>
    <w:rsid w:val="00F00547"/>
    <w:rsid w:val="00F00626"/>
    <w:rsid w:val="00F0528D"/>
    <w:rsid w:val="00F054B4"/>
    <w:rsid w:val="00F06C67"/>
    <w:rsid w:val="00F06DFD"/>
    <w:rsid w:val="00F071D1"/>
    <w:rsid w:val="00F07533"/>
    <w:rsid w:val="00F10629"/>
    <w:rsid w:val="00F15FA5"/>
    <w:rsid w:val="00F200A8"/>
    <w:rsid w:val="00F209B7"/>
    <w:rsid w:val="00F2376F"/>
    <w:rsid w:val="00F243D8"/>
    <w:rsid w:val="00F30828"/>
    <w:rsid w:val="00F313D6"/>
    <w:rsid w:val="00F40F0C"/>
    <w:rsid w:val="00F45269"/>
    <w:rsid w:val="00F4766C"/>
    <w:rsid w:val="00F507D1"/>
    <w:rsid w:val="00F519CE"/>
    <w:rsid w:val="00F51ADA"/>
    <w:rsid w:val="00F607C5"/>
    <w:rsid w:val="00F60DEA"/>
    <w:rsid w:val="00F6302A"/>
    <w:rsid w:val="00F64C2B"/>
    <w:rsid w:val="00F651BE"/>
    <w:rsid w:val="00F67F53"/>
    <w:rsid w:val="00F703BE"/>
    <w:rsid w:val="00F704F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015"/>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456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link w:val="B2Char"/>
    <w:rsid w:val="00A66F55"/>
    <w:pPr>
      <w:spacing w:after="180"/>
      <w:jc w:val="left"/>
    </w:pPr>
    <w:rPr>
      <w:lang w:eastAsia="en-US"/>
    </w:rPr>
  </w:style>
  <w:style w:type="paragraph" w:customStyle="1" w:styleId="B3">
    <w:name w:val="B3"/>
    <w:basedOn w:val="List3"/>
    <w:link w:val="B3Char2"/>
    <w:rsid w:val="00A66F55"/>
    <w:pPr>
      <w:spacing w:after="180"/>
      <w:jc w:val="left"/>
    </w:pPr>
    <w:rPr>
      <w:lang w:eastAsia="en-US"/>
    </w:rPr>
  </w:style>
  <w:style w:type="paragraph" w:customStyle="1" w:styleId="B4">
    <w:name w:val="B4"/>
    <w:basedOn w:val="List4"/>
    <w:link w:val="B4Char"/>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9"/>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716D7C"/>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853C67"/>
    <w:rPr>
      <w:rFonts w:ascii="Arial" w:hAnsi="Arial"/>
      <w:lang w:val="en-GB" w:eastAsia="zh-CN"/>
    </w:rPr>
  </w:style>
  <w:style w:type="character" w:customStyle="1" w:styleId="NOChar">
    <w:name w:val="NO Char"/>
    <w:link w:val="NO"/>
    <w:locked/>
    <w:rsid w:val="00BC0209"/>
    <w:rPr>
      <w:rFonts w:ascii="Times New Roman" w:hAnsi="Times New Roman"/>
      <w:lang w:val="x-none" w:eastAsia="x-none"/>
    </w:rPr>
  </w:style>
  <w:style w:type="paragraph" w:customStyle="1" w:styleId="NO">
    <w:name w:val="NO"/>
    <w:basedOn w:val="Normal"/>
    <w:link w:val="NOChar"/>
    <w:rsid w:val="00BC0209"/>
    <w:pPr>
      <w:keepLines/>
      <w:spacing w:after="180"/>
      <w:ind w:left="1135" w:hanging="851"/>
      <w:jc w:val="left"/>
      <w:textAlignment w:val="auto"/>
    </w:pPr>
    <w:rPr>
      <w:rFonts w:ascii="Times New Roman" w:hAnsi="Times New Roman"/>
      <w:lang w:val="x-none" w:eastAsia="x-none"/>
    </w:rPr>
  </w:style>
  <w:style w:type="character" w:customStyle="1" w:styleId="B1Char1">
    <w:name w:val="B1 Char1"/>
    <w:link w:val="B1"/>
    <w:qFormat/>
    <w:locked/>
    <w:rsid w:val="00BC0209"/>
    <w:rPr>
      <w:rFonts w:ascii="Arial" w:hAnsi="Arial"/>
      <w:lang w:val="en-GB"/>
    </w:rPr>
  </w:style>
  <w:style w:type="character" w:customStyle="1" w:styleId="B2Char">
    <w:name w:val="B2 Char"/>
    <w:link w:val="B2"/>
    <w:locked/>
    <w:rsid w:val="00BC0209"/>
    <w:rPr>
      <w:rFonts w:ascii="Arial" w:hAnsi="Arial"/>
      <w:lang w:val="en-GB"/>
    </w:rPr>
  </w:style>
  <w:style w:type="character" w:customStyle="1" w:styleId="B3Char2">
    <w:name w:val="B3 Char2"/>
    <w:link w:val="B3"/>
    <w:locked/>
    <w:rsid w:val="00BC0209"/>
    <w:rPr>
      <w:rFonts w:ascii="Arial" w:hAnsi="Arial"/>
      <w:lang w:val="en-GB"/>
    </w:rPr>
  </w:style>
  <w:style w:type="character" w:customStyle="1" w:styleId="B4Char">
    <w:name w:val="B4 Char"/>
    <w:link w:val="B4"/>
    <w:locked/>
    <w:rsid w:val="00BC0209"/>
    <w:rPr>
      <w:rFonts w:ascii="Arial" w:hAnsi="Arial"/>
      <w:lang w:val="en-GB"/>
    </w:rPr>
  </w:style>
  <w:style w:type="character" w:customStyle="1" w:styleId="TAHCar">
    <w:name w:val="TAH Car"/>
    <w:link w:val="TAH"/>
    <w:locked/>
    <w:rsid w:val="00BC0209"/>
    <w:rPr>
      <w:rFonts w:ascii="Arial" w:hAnsi="Arial"/>
      <w:b/>
      <w:sz w:val="18"/>
      <w:lang w:val="en-GB"/>
    </w:rPr>
  </w:style>
  <w:style w:type="paragraph" w:customStyle="1" w:styleId="Doc-title">
    <w:name w:val="Doc-title"/>
    <w:basedOn w:val="Normal"/>
    <w:next w:val="Doc-text2"/>
    <w:link w:val="Doc-titleChar"/>
    <w:qFormat/>
    <w:rsid w:val="00F4526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45269"/>
    <w:rPr>
      <w:rFonts w:ascii="Arial" w:eastAsia="MS Mincho" w:hAnsi="Arial"/>
      <w:noProof/>
      <w:szCs w:val="24"/>
      <w:lang w:val="en-GB" w:eastAsia="en-GB"/>
    </w:rPr>
  </w:style>
  <w:style w:type="paragraph" w:customStyle="1" w:styleId="Comments">
    <w:name w:val="Comments"/>
    <w:basedOn w:val="Normal"/>
    <w:link w:val="CommentsChar"/>
    <w:qFormat/>
    <w:rsid w:val="00F4526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F45269"/>
    <w:rPr>
      <w:rFonts w:ascii="Arial" w:eastAsia="MS Mincho" w:hAnsi="Arial"/>
      <w:i/>
      <w:noProof/>
      <w:sz w:val="18"/>
      <w:szCs w:val="24"/>
      <w:lang w:val="en-GB" w:eastAsia="en-GB"/>
    </w:rPr>
  </w:style>
  <w:style w:type="paragraph" w:customStyle="1" w:styleId="References">
    <w:name w:val="References"/>
    <w:basedOn w:val="Normal"/>
    <w:uiPriority w:val="99"/>
    <w:rsid w:val="00F200A8"/>
    <w:pPr>
      <w:numPr>
        <w:ilvl w:val="2"/>
        <w:numId w:val="11"/>
      </w:numPr>
      <w:overflowPunct/>
      <w:autoSpaceDE/>
      <w:autoSpaceDN/>
      <w:adjustRightInd/>
      <w:spacing w:after="0"/>
      <w:jc w:val="left"/>
      <w:textAlignment w:val="auto"/>
    </w:pPr>
    <w:rPr>
      <w:rFonts w:ascii="Times New Roman" w:hAnsi="Times New Roman"/>
      <w:szCs w:val="24"/>
      <w:lang w:val="en-US" w:eastAsia="en-US"/>
    </w:rPr>
  </w:style>
  <w:style w:type="paragraph" w:customStyle="1" w:styleId="berschrift2Head2A2">
    <w:name w:val="Überschrift 2.Head2A.2"/>
    <w:basedOn w:val="Heading1"/>
    <w:next w:val="Normal"/>
    <w:uiPriority w:val="99"/>
    <w:rsid w:val="00F200A8"/>
    <w:pPr>
      <w:numPr>
        <w:numId w:val="11"/>
      </w:numPr>
      <w:pBdr>
        <w:top w:val="none" w:sz="0" w:space="0" w:color="auto"/>
      </w:pBdr>
      <w:overflowPunct/>
      <w:autoSpaceDE/>
      <w:autoSpaceDN/>
      <w:adjustRightInd/>
      <w:spacing w:before="180"/>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uiPriority w:val="99"/>
    <w:rsid w:val="00F200A8"/>
    <w:pPr>
      <w:numPr>
        <w:numId w:val="11"/>
      </w:numPr>
      <w:tabs>
        <w:tab w:val="num" w:pos="576"/>
        <w:tab w:val="num" w:pos="605"/>
      </w:tabs>
      <w:overflowPunct/>
      <w:autoSpaceDE/>
      <w:autoSpaceDN/>
      <w:adjustRightInd/>
      <w:spacing w:before="120"/>
      <w:ind w:left="576" w:firstLine="0"/>
      <w:textAlignment w:val="auto"/>
      <w:outlineLvl w:val="2"/>
    </w:pPr>
    <w:rPr>
      <w:rFonts w:eastAsia="MS Mincho" w:cs="Times New Roman"/>
      <w:sz w:val="28"/>
      <w:szCs w:val="20"/>
      <w:lang w:eastAsia="de-DE"/>
    </w:rPr>
  </w:style>
  <w:style w:type="character" w:customStyle="1" w:styleId="TALChar">
    <w:name w:val="TAL Char"/>
    <w:link w:val="TAL"/>
    <w:qFormat/>
    <w:locked/>
    <w:rsid w:val="00B75AAF"/>
    <w:rPr>
      <w:rFonts w:ascii="Arial" w:hAnsi="Arial"/>
      <w:sz w:val="18"/>
      <w:lang w:val="en-GB"/>
    </w:rPr>
  </w:style>
  <w:style w:type="paragraph" w:customStyle="1" w:styleId="RAN1bullet1">
    <w:name w:val="RAN1 bullet1"/>
    <w:basedOn w:val="Normal"/>
    <w:link w:val="RAN1bullet1Char"/>
    <w:qFormat/>
    <w:rsid w:val="0057243C"/>
    <w:pPr>
      <w:numPr>
        <w:numId w:val="13"/>
      </w:num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qFormat/>
    <w:rsid w:val="0057243C"/>
    <w:rPr>
      <w:rFonts w:ascii="Times" w:eastAsia="Batang" w:hAnsi="Times"/>
      <w:szCs w:val="24"/>
      <w:lang w:val="en-GB" w:eastAsia="x-none"/>
    </w:rPr>
  </w:style>
  <w:style w:type="paragraph" w:customStyle="1" w:styleId="PL">
    <w:name w:val="PL"/>
    <w:link w:val="PLChar"/>
    <w:qFormat/>
    <w:rsid w:val="00572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57243C"/>
    <w:rPr>
      <w:rFonts w:ascii="Courier New" w:hAnsi="Courier New"/>
      <w:noProof/>
      <w:sz w:val="16"/>
      <w:shd w:val="clear" w:color="auto" w:fill="E6E6E6"/>
      <w:lang w:val="en-GB" w:eastAsia="sv-SE"/>
    </w:rPr>
  </w:style>
  <w:style w:type="character" w:customStyle="1" w:styleId="THChar">
    <w:name w:val="TH Char"/>
    <w:link w:val="TH"/>
    <w:rsid w:val="0057243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3552">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9518299">
      <w:bodyDiv w:val="1"/>
      <w:marLeft w:val="0"/>
      <w:marRight w:val="0"/>
      <w:marTop w:val="0"/>
      <w:marBottom w:val="0"/>
      <w:divBdr>
        <w:top w:val="none" w:sz="0" w:space="0" w:color="auto"/>
        <w:left w:val="none" w:sz="0" w:space="0" w:color="auto"/>
        <w:bottom w:val="none" w:sz="0" w:space="0" w:color="auto"/>
        <w:right w:val="none" w:sz="0" w:space="0" w:color="auto"/>
      </w:divBdr>
    </w:div>
    <w:div w:id="626590673">
      <w:bodyDiv w:val="1"/>
      <w:marLeft w:val="0"/>
      <w:marRight w:val="0"/>
      <w:marTop w:val="0"/>
      <w:marBottom w:val="0"/>
      <w:divBdr>
        <w:top w:val="none" w:sz="0" w:space="0" w:color="auto"/>
        <w:left w:val="none" w:sz="0" w:space="0" w:color="auto"/>
        <w:bottom w:val="none" w:sz="0" w:space="0" w:color="auto"/>
        <w:right w:val="none" w:sz="0" w:space="0" w:color="auto"/>
      </w:divBdr>
    </w:div>
    <w:div w:id="114373605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9161700">
      <w:bodyDiv w:val="1"/>
      <w:marLeft w:val="0"/>
      <w:marRight w:val="0"/>
      <w:marTop w:val="0"/>
      <w:marBottom w:val="0"/>
      <w:divBdr>
        <w:top w:val="none" w:sz="0" w:space="0" w:color="auto"/>
        <w:left w:val="none" w:sz="0" w:space="0" w:color="auto"/>
        <w:bottom w:val="none" w:sz="0" w:space="0" w:color="auto"/>
        <w:right w:val="none" w:sz="0" w:space="0" w:color="auto"/>
      </w:divBdr>
    </w:div>
    <w:div w:id="1772043886">
      <w:bodyDiv w:val="1"/>
      <w:marLeft w:val="0"/>
      <w:marRight w:val="0"/>
      <w:marTop w:val="0"/>
      <w:marBottom w:val="0"/>
      <w:divBdr>
        <w:top w:val="none" w:sz="0" w:space="0" w:color="auto"/>
        <w:left w:val="none" w:sz="0" w:space="0" w:color="auto"/>
        <w:bottom w:val="none" w:sz="0" w:space="0" w:color="auto"/>
        <w:right w:val="none" w:sz="0" w:space="0" w:color="auto"/>
      </w:divBdr>
    </w:div>
    <w:div w:id="1859925962">
      <w:bodyDiv w:val="1"/>
      <w:marLeft w:val="0"/>
      <w:marRight w:val="0"/>
      <w:marTop w:val="0"/>
      <w:marBottom w:val="0"/>
      <w:divBdr>
        <w:top w:val="none" w:sz="0" w:space="0" w:color="auto"/>
        <w:left w:val="none" w:sz="0" w:space="0" w:color="auto"/>
        <w:bottom w:val="none" w:sz="0" w:space="0" w:color="auto"/>
        <w:right w:val="none" w:sz="0" w:space="0" w:color="auto"/>
      </w:divBdr>
    </w:div>
    <w:div w:id="1874659168">
      <w:bodyDiv w:val="1"/>
      <w:marLeft w:val="0"/>
      <w:marRight w:val="0"/>
      <w:marTop w:val="0"/>
      <w:marBottom w:val="0"/>
      <w:divBdr>
        <w:top w:val="none" w:sz="0" w:space="0" w:color="auto"/>
        <w:left w:val="none" w:sz="0" w:space="0" w:color="auto"/>
        <w:bottom w:val="none" w:sz="0" w:space="0" w:color="auto"/>
        <w:right w:val="none" w:sz="0" w:space="0" w:color="auto"/>
      </w:divBdr>
    </w:div>
    <w:div w:id="188163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5NUHHDQN7SK2-1476151046-18130</_dlc_DocId>
    <_dlc_DocIdUrl xmlns="f166a696-7b5b-4ccd-9f0c-ffde0cceec81">
      <Url>https://ericsson.sharepoint.com/sites/star/_layouts/15/DocIdRedir.aspx?ID=5NUHHDQN7SK2-1476151046-18130</Url>
      <Description>5NUHHDQN7SK2-1476151046-18130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E14EF128-39DF-4D0B-AEC5-9CF087D50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d8762117-8292-4133-b1c7-eab5c6487cfd"/>
    <ds:schemaRef ds:uri="http://schemas.openxmlformats.org/package/2006/metadata/core-propertie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microsoft.com/sharepoint/v4"/>
    <ds:schemaRef ds:uri="http://purl.org/dc/terms/"/>
    <ds:schemaRef ds:uri="f166a696-7b5b-4ccd-9f0c-ffde0cceec81"/>
    <ds:schemaRef ds:uri="611109f9-ed58-4498-a270-1fb2086a5321"/>
    <ds:schemaRef ds:uri="http://schemas.microsoft.com/office/2006/metadata/propertie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DD25228D-7C3C-454D-A117-86E20ABEF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2</cp:revision>
  <cp:lastPrinted>2008-01-31T16:09:00Z</cp:lastPrinted>
  <dcterms:created xsi:type="dcterms:W3CDTF">2018-02-20T23:31:00Z</dcterms:created>
  <dcterms:modified xsi:type="dcterms:W3CDTF">2018-02-20T23:31:00Z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3e1fbdc0-75e7-49e0-8469-2d7b59617fc0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